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327C6">
      <w:pPr>
        <w:spacing w:line="600" w:lineRule="exact"/>
        <w:rPr>
          <w:rFonts w:ascii="仿宋_GB2312" w:eastAsia="仿宋_GB2312"/>
          <w:sz w:val="32"/>
          <w:szCs w:val="32"/>
        </w:rPr>
      </w:pPr>
      <w:bookmarkStart w:id="0" w:name="_GoBack"/>
      <w:bookmarkEnd w:id="0"/>
    </w:p>
    <w:p w14:paraId="3B0E823A">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高新区土地储备中心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442B9A5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1F0B3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1EC110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6F8942D">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、按照国家、省、市关于土地储备工作的法律法规，负责大连高新技术产业园区土地储备工作；</w:t>
      </w:r>
    </w:p>
    <w:p w14:paraId="55A98217">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、根据大连高新技术产业园区土地利用总体规划和城市总体规划要求，拟定土地储备收购计划，报管委会批准后执行；</w:t>
      </w:r>
    </w:p>
    <w:p w14:paraId="0C69F270">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、根据管委会批准的土地储备计划，开展土地储备资源的调查、统计工作，并依照有关规定对国有存量土地及其他需要储备的土地进行收购储备；</w:t>
      </w:r>
    </w:p>
    <w:p w14:paraId="7965A721">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、按照管委会有关规定，负责对已收购储备的土地按照规划和出让要求进行前期开发、保护、管理和临时利用；</w:t>
      </w:r>
    </w:p>
    <w:p w14:paraId="1FEF3CED">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、负责对辖区土地储备规模调控等相关工作；</w:t>
      </w:r>
    </w:p>
    <w:p w14:paraId="551D2E9A">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、负责土地收购整理的成本核算相关工作；</w:t>
      </w:r>
    </w:p>
    <w:p w14:paraId="52F17BF2">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、负责收集、整理土地储备信息资料，为土地储备、供应及房地产市场宏观调控提供决策依据；</w:t>
      </w:r>
    </w:p>
    <w:p w14:paraId="50DA57EF">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、完成上级部门交办的其他工作。</w:t>
      </w:r>
    </w:p>
    <w:p w14:paraId="064271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A44CAA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9年土地储备中心部门预算为本部综合收支计划，无二级单位。</w:t>
      </w:r>
    </w:p>
    <w:p w14:paraId="62A6786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8AC204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373EAB71">
      <w:pPr>
        <w:spacing w:line="330" w:lineRule="atLeast"/>
        <w:ind w:firstLine="600" w:firstLineChars="200"/>
        <w:rPr>
          <w:rFonts w:ascii="仿宋" w:hAnsi="仿宋" w:eastAsia="仿宋"/>
          <w:sz w:val="30"/>
          <w:szCs w:val="30"/>
        </w:rPr>
      </w:pPr>
      <w:r>
        <w:rPr>
          <w:rFonts w:hint="eastAsia" w:ascii="仿宋" w:hAnsi="仿宋" w:eastAsia="仿宋"/>
          <w:sz w:val="30"/>
          <w:szCs w:val="30"/>
        </w:rPr>
        <w:t>按照综合预算的原则，本部门所有收入和支出均纳入部门预算管理，无下级预算单位。收入包括：财政拨款收入17842.1万元；支出包括：工资福利和对个人家庭补助支出475.2万元，商品和服务支出111.6万元，资本性支出（征地和拆迁补偿支出）17255.3万元</w:t>
      </w:r>
      <w:r>
        <w:rPr>
          <w:rFonts w:ascii="仿宋" w:hAnsi="仿宋" w:eastAsia="仿宋"/>
          <w:sz w:val="30"/>
          <w:szCs w:val="30"/>
        </w:rPr>
        <w:t>;</w:t>
      </w:r>
      <w:r>
        <w:rPr>
          <w:rFonts w:hint="eastAsia" w:ascii="仿宋" w:hAnsi="仿宋" w:eastAsia="仿宋"/>
          <w:sz w:val="30"/>
          <w:szCs w:val="30"/>
        </w:rPr>
        <w:t>一般公共预算586.8万元，政府性基金预算17255.3万元。比</w:t>
      </w:r>
      <w:r>
        <w:rPr>
          <w:rFonts w:ascii="仿宋" w:hAnsi="仿宋" w:eastAsia="仿宋"/>
          <w:sz w:val="30"/>
          <w:szCs w:val="30"/>
        </w:rPr>
        <w:t>201</w:t>
      </w:r>
      <w:r>
        <w:rPr>
          <w:rFonts w:hint="eastAsia" w:ascii="仿宋" w:hAnsi="仿宋" w:eastAsia="仿宋"/>
          <w:sz w:val="30"/>
          <w:szCs w:val="30"/>
        </w:rPr>
        <w:t>8年预算数减少4225.7万元，其中工资福利和对个人家庭补助支出减少48.2万元，商品和服务支出减少66.9万元，资本性支出（征地和拆迁补偿支出）减少4110.6万元。</w:t>
      </w:r>
    </w:p>
    <w:p w14:paraId="46217AC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16E569DE">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无“三公”经费预算</w:t>
      </w:r>
      <w:r>
        <w:rPr>
          <w:rFonts w:hint="eastAsia" w:ascii="仿宋" w:hAnsi="仿宋" w:eastAsia="仿宋" w:cs="Verdana"/>
          <w:color w:val="000000"/>
          <w:kern w:val="0"/>
          <w:sz w:val="30"/>
          <w:szCs w:val="30"/>
        </w:rPr>
        <w:t>事项，与去年相同</w:t>
      </w:r>
      <w:r>
        <w:rPr>
          <w:rFonts w:hint="eastAsia" w:ascii="仿宋" w:hAnsi="仿宋" w:eastAsia="仿宋"/>
          <w:sz w:val="30"/>
          <w:szCs w:val="30"/>
        </w:rPr>
        <w:t>。</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14F579D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03E6817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机关运行经费包括定额公用经费9.9万元。</w:t>
      </w:r>
    </w:p>
    <w:p w14:paraId="6DECCD51">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四、政府采购情况说明</w:t>
      </w:r>
    </w:p>
    <w:p w14:paraId="64124E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C55ED25">
      <w:pPr>
        <w:spacing w:line="600" w:lineRule="exact"/>
        <w:ind w:firstLine="600" w:firstLineChars="200"/>
        <w:rPr>
          <w:rFonts w:ascii="仿宋" w:hAnsi="仿宋" w:eastAsia="仿宋" w:cs="Verdana"/>
          <w:color w:val="000000"/>
          <w:kern w:val="0"/>
          <w:sz w:val="30"/>
          <w:szCs w:val="30"/>
        </w:rPr>
      </w:pPr>
      <w:r>
        <w:rPr>
          <w:rFonts w:hint="eastAsia" w:ascii="仿宋" w:hAnsi="仿宋" w:eastAsia="仿宋" w:cs="Verdana"/>
          <w:color w:val="000000"/>
          <w:kern w:val="0"/>
          <w:sz w:val="30"/>
          <w:szCs w:val="30"/>
        </w:rPr>
        <w:t>五、政府性基金收支预算情况</w:t>
      </w:r>
    </w:p>
    <w:p w14:paraId="2EA636C7">
      <w:pPr>
        <w:spacing w:line="330" w:lineRule="atLeast"/>
        <w:ind w:firstLine="600" w:firstLineChars="200"/>
        <w:rPr>
          <w:rFonts w:hint="eastAsia" w:ascii="仿宋" w:hAnsi="仿宋" w:eastAsia="仿宋" w:cs="Verdana"/>
          <w:color w:val="000000"/>
          <w:kern w:val="0"/>
          <w:sz w:val="30"/>
          <w:szCs w:val="30"/>
        </w:rPr>
      </w:pPr>
      <w:r>
        <w:rPr>
          <w:rFonts w:hint="eastAsia" w:ascii="仿宋" w:hAnsi="仿宋" w:eastAsia="仿宋" w:cs="Verdana"/>
          <w:color w:val="000000"/>
          <w:kern w:val="0"/>
          <w:sz w:val="30"/>
          <w:szCs w:val="30"/>
        </w:rPr>
        <w:t>政府性基金收入17255.3万元，全部为财政拨款收入；政府性基金支出17255.3万元，全部为征地和拆迁补偿支出。</w:t>
      </w:r>
    </w:p>
    <w:p w14:paraId="3DCEE921">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09B167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41B303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8C2510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6B3AF887">
      <w:pPr>
        <w:spacing w:line="600" w:lineRule="exact"/>
        <w:ind w:firstLine="600" w:firstLineChars="200"/>
        <w:rPr>
          <w:rFonts w:ascii="仿宋" w:hAnsi="仿宋" w:eastAsia="仿宋" w:cs="Verdana"/>
          <w:color w:val="000000"/>
          <w:kern w:val="0"/>
          <w:sz w:val="30"/>
          <w:szCs w:val="30"/>
        </w:rPr>
      </w:pPr>
    </w:p>
    <w:p w14:paraId="03D8C5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AC9B0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3D0F1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42E16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8D2A9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2B19B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76872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AB4F01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FEED0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EE0DB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D604C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F4B29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9E862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464F0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900A7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DE50B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49880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44874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286E5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2EF729F">
      <w:pPr>
        <w:widowControl/>
        <w:spacing w:line="330" w:lineRule="atLeast"/>
        <w:ind w:firstLine="600" w:firstLineChars="200"/>
        <w:jc w:val="left"/>
        <w:rPr>
          <w:rFonts w:ascii="仿宋" w:hAnsi="仿宋" w:eastAsia="仿宋" w:cs="仿宋"/>
          <w:color w:val="000000"/>
          <w:kern w:val="0"/>
          <w:sz w:val="30"/>
          <w:szCs w:val="30"/>
        </w:rPr>
      </w:pPr>
    </w:p>
    <w:p w14:paraId="0B4D7B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6A4307E3">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0A7021"/>
    <w:rsid w:val="00101BE5"/>
    <w:rsid w:val="00104AD4"/>
    <w:rsid w:val="0010550E"/>
    <w:rsid w:val="00161E82"/>
    <w:rsid w:val="00164A2E"/>
    <w:rsid w:val="00165857"/>
    <w:rsid w:val="00187190"/>
    <w:rsid w:val="001961A4"/>
    <w:rsid w:val="001E3E93"/>
    <w:rsid w:val="00264775"/>
    <w:rsid w:val="00265F8B"/>
    <w:rsid w:val="003003AA"/>
    <w:rsid w:val="003253E2"/>
    <w:rsid w:val="00342DA2"/>
    <w:rsid w:val="003647EA"/>
    <w:rsid w:val="003B50ED"/>
    <w:rsid w:val="003C65CD"/>
    <w:rsid w:val="003E61DA"/>
    <w:rsid w:val="003F2AA1"/>
    <w:rsid w:val="003F4DFF"/>
    <w:rsid w:val="004221E9"/>
    <w:rsid w:val="00433CC1"/>
    <w:rsid w:val="004B17C3"/>
    <w:rsid w:val="00594FB5"/>
    <w:rsid w:val="005A04CC"/>
    <w:rsid w:val="005D522E"/>
    <w:rsid w:val="005E009C"/>
    <w:rsid w:val="005F4DCC"/>
    <w:rsid w:val="006049FD"/>
    <w:rsid w:val="00614500"/>
    <w:rsid w:val="006541E5"/>
    <w:rsid w:val="00680FFD"/>
    <w:rsid w:val="00753345"/>
    <w:rsid w:val="00753F26"/>
    <w:rsid w:val="00755C7B"/>
    <w:rsid w:val="007805EB"/>
    <w:rsid w:val="00793572"/>
    <w:rsid w:val="007B12D0"/>
    <w:rsid w:val="007C1F7C"/>
    <w:rsid w:val="007C5E3C"/>
    <w:rsid w:val="007F23D9"/>
    <w:rsid w:val="00805276"/>
    <w:rsid w:val="008207A6"/>
    <w:rsid w:val="00826E6F"/>
    <w:rsid w:val="00836325"/>
    <w:rsid w:val="008620BC"/>
    <w:rsid w:val="008641D1"/>
    <w:rsid w:val="00871753"/>
    <w:rsid w:val="0088398B"/>
    <w:rsid w:val="008B01B8"/>
    <w:rsid w:val="008B3879"/>
    <w:rsid w:val="00906A5D"/>
    <w:rsid w:val="009244A6"/>
    <w:rsid w:val="00941B10"/>
    <w:rsid w:val="00961681"/>
    <w:rsid w:val="009652AA"/>
    <w:rsid w:val="009848F0"/>
    <w:rsid w:val="009B43E9"/>
    <w:rsid w:val="009F1015"/>
    <w:rsid w:val="009F229D"/>
    <w:rsid w:val="00A12672"/>
    <w:rsid w:val="00A150E4"/>
    <w:rsid w:val="00A26A44"/>
    <w:rsid w:val="00A377FD"/>
    <w:rsid w:val="00A5549A"/>
    <w:rsid w:val="00A70656"/>
    <w:rsid w:val="00A7639E"/>
    <w:rsid w:val="00A924A6"/>
    <w:rsid w:val="00AB262E"/>
    <w:rsid w:val="00AC5A08"/>
    <w:rsid w:val="00B217F1"/>
    <w:rsid w:val="00B40E6C"/>
    <w:rsid w:val="00B7311E"/>
    <w:rsid w:val="00BC0231"/>
    <w:rsid w:val="00C02034"/>
    <w:rsid w:val="00C052C0"/>
    <w:rsid w:val="00C67479"/>
    <w:rsid w:val="00C81F67"/>
    <w:rsid w:val="00CB47B3"/>
    <w:rsid w:val="00CF43DA"/>
    <w:rsid w:val="00CF47E9"/>
    <w:rsid w:val="00D10236"/>
    <w:rsid w:val="00D176CA"/>
    <w:rsid w:val="00D400F0"/>
    <w:rsid w:val="00D53DBF"/>
    <w:rsid w:val="00D82E50"/>
    <w:rsid w:val="00DC1136"/>
    <w:rsid w:val="00DD605A"/>
    <w:rsid w:val="00DD67CE"/>
    <w:rsid w:val="00DF2079"/>
    <w:rsid w:val="00E14414"/>
    <w:rsid w:val="00E160F9"/>
    <w:rsid w:val="00E679E1"/>
    <w:rsid w:val="00E804EF"/>
    <w:rsid w:val="00EA15E7"/>
    <w:rsid w:val="00EB6E55"/>
    <w:rsid w:val="00EB7A9D"/>
    <w:rsid w:val="00EE134B"/>
    <w:rsid w:val="00F01060"/>
    <w:rsid w:val="00F251AC"/>
    <w:rsid w:val="00F713C4"/>
    <w:rsid w:val="00F76F83"/>
    <w:rsid w:val="00F83519"/>
    <w:rsid w:val="00F94B86"/>
    <w:rsid w:val="00FC5228"/>
    <w:rsid w:val="00FC701E"/>
    <w:rsid w:val="00FD042E"/>
    <w:rsid w:val="00FD7251"/>
    <w:rsid w:val="6CD7238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2204</Words>
  <Characters>2309</Characters>
  <Lines>18</Lines>
  <Paragraphs>5</Paragraphs>
  <TotalTime>71</TotalTime>
  <ScaleCrop>false</ScaleCrop>
  <LinksUpToDate>false</LinksUpToDate>
  <CharactersWithSpaces>2576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2025-12-25T08:49:51Z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F69FA095E54F42A1849DFB9037328A01_12</vt:lpwstr>
  </property>
</Properties>
</file>