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5AEFF">
      <w:pPr>
        <w:spacing w:line="600" w:lineRule="exact"/>
        <w:rPr>
          <w:rFonts w:ascii="仿宋_GB2312" w:eastAsia="仿宋_GB2312"/>
          <w:sz w:val="32"/>
          <w:szCs w:val="32"/>
        </w:rPr>
      </w:pPr>
      <w:bookmarkStart w:id="0" w:name="_GoBack"/>
      <w:bookmarkEnd w:id="0"/>
    </w:p>
    <w:p w14:paraId="4999C3BE">
      <w:pPr>
        <w:widowControl/>
        <w:spacing w:line="330" w:lineRule="atLeast"/>
        <w:jc w:val="center"/>
        <w:rPr>
          <w:rFonts w:ascii="仿宋" w:hAnsi="仿宋" w:eastAsia="仿宋"/>
          <w:b/>
          <w:bCs/>
          <w:color w:val="000000"/>
          <w:sz w:val="30"/>
          <w:szCs w:val="30"/>
        </w:rPr>
      </w:pPr>
      <w:r>
        <w:rPr>
          <w:rFonts w:hint="eastAsia" w:ascii="仿宋" w:hAnsi="仿宋" w:eastAsia="仿宋" w:cs="仿宋"/>
          <w:b/>
          <w:bCs/>
          <w:sz w:val="30"/>
          <w:szCs w:val="30"/>
        </w:rPr>
        <w:t>高新区社会事业管理局</w:t>
      </w:r>
      <w:r>
        <w:rPr>
          <w:rFonts w:ascii="仿宋" w:hAnsi="仿宋" w:eastAsia="仿宋" w:cs="仿宋"/>
          <w:b/>
          <w:bCs/>
          <w:color w:val="000000"/>
          <w:kern w:val="0"/>
          <w:sz w:val="30"/>
          <w:szCs w:val="30"/>
        </w:rPr>
        <w:t>2020</w:t>
      </w:r>
      <w:r>
        <w:rPr>
          <w:rFonts w:hint="eastAsia" w:ascii="仿宋" w:hAnsi="仿宋" w:eastAsia="仿宋" w:cs="仿宋"/>
          <w:b/>
          <w:bCs/>
          <w:color w:val="000000"/>
          <w:kern w:val="0"/>
          <w:sz w:val="30"/>
          <w:szCs w:val="30"/>
        </w:rPr>
        <w:t>年部门预算</w:t>
      </w:r>
    </w:p>
    <w:p w14:paraId="329FBBB4">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5BE554B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82762F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F337EB0">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（一）社会事业管理局：</w:t>
      </w:r>
    </w:p>
    <w:p w14:paraId="3E0AFC4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贯彻执行国家、省、市有关民政、司法、民族、宗教、残疾人事业、水资源和水利、农业、林业、畜牧业、海洋与渔业、旅游、商业、气象、地震等工作方针政策、法律、法规及规章，研究拟定全区社会事业的中长期发展规划、年度计划及相关的地方性行政管理规定，并组织实施；</w:t>
      </w:r>
    </w:p>
    <w:p w14:paraId="09193F7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、负责城乡社会救济、救灾、扶贫、捐助和城乡居民最低生活保障工作；</w:t>
      </w:r>
    </w:p>
    <w:p w14:paraId="3BD0907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、负责基层政权和社区建设指导工作；</w:t>
      </w:r>
    </w:p>
    <w:p w14:paraId="0FE61ED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、负责区内行政区划、勘界工作及地名工作；</w:t>
      </w:r>
    </w:p>
    <w:p w14:paraId="4DC37028">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、负责社团及民办非企业单位的登记管理工作；</w:t>
      </w:r>
    </w:p>
    <w:p w14:paraId="4DFA08EF">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、负责优抚、复转军人相关工作和组织双拥共建活动；负责全区革命烈士纪念建筑物维管工作；</w:t>
      </w:r>
    </w:p>
    <w:p w14:paraId="2DEA513F">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、负责婚姻登记、儿童收养登记、城市生活无着落流浪乞讨人员救助、福利彩票发行工作；</w:t>
      </w:r>
    </w:p>
    <w:p w14:paraId="2EE04427">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、负责殡葬、社会福利机构、福利企业和慈善机构的管理工作；</w:t>
      </w:r>
    </w:p>
    <w:p w14:paraId="2BE14E4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、领导和联系区残疾人联合会，协调解决残疾人工作中的重大问题；负责红十字会、慈善总会、民族宗教事务管理工作；</w:t>
      </w:r>
    </w:p>
    <w:p w14:paraId="7520D92A">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10</w:t>
      </w:r>
      <w:r>
        <w:rPr>
          <w:rFonts w:hint="eastAsia" w:ascii="仿宋" w:hAnsi="仿宋" w:eastAsia="仿宋" w:cs="仿宋"/>
          <w:color w:val="000000"/>
          <w:kern w:val="0"/>
          <w:sz w:val="30"/>
          <w:szCs w:val="30"/>
        </w:rPr>
        <w:t>、负责老龄工作。拟定辖区内老龄工作政策与规划并组织实施，督促、检查全区老龄工作的落实情况，向上级老龄工作委员会报告；负责与上级老龄工作委员会各成员单位的联系与协调工作；承办市民政局老龄办和市老龄工作委员会交办的其它事项；</w:t>
      </w:r>
    </w:p>
    <w:p w14:paraId="50ED3FB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11</w:t>
      </w:r>
      <w:r>
        <w:rPr>
          <w:rFonts w:hint="eastAsia" w:ascii="仿宋" w:hAnsi="仿宋" w:eastAsia="仿宋" w:cs="仿宋"/>
          <w:color w:val="000000"/>
          <w:kern w:val="0"/>
          <w:sz w:val="30"/>
          <w:szCs w:val="30"/>
        </w:rPr>
        <w:t>、负责普法、依法治区和法制教育宣传工作。综合管理社会法律服务机构和人员，指导和监督律师、法律顾问、公证机构的业务活动，组织管理法律援助。指导街道、镇的司法行政工作；负责人民调解、刑释解教人员安置帮教工作的协调指导和监督管理；</w:t>
      </w:r>
    </w:p>
    <w:p w14:paraId="329974A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负责全区水资源和水利、农业、林业、海洋与渔业、畜牧业的行政管理工作，对全区渔业资源、山林资源、海洋资源、水资源进行保护和统一管理，编制合理开发利用的规划和计划，实施行政许可和监督管理措施；负责农业产业化发展、农产品安全监测、农业统计、动物疫病防治和监督、造林绿化、山林防火、野生动植物保护、抗旱、渔业生产等工作；</w:t>
      </w:r>
    </w:p>
    <w:p w14:paraId="18808FD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13</w:t>
      </w:r>
      <w:r>
        <w:rPr>
          <w:rFonts w:hint="eastAsia" w:ascii="仿宋" w:hAnsi="仿宋" w:eastAsia="仿宋" w:cs="仿宋"/>
          <w:color w:val="000000"/>
          <w:kern w:val="0"/>
          <w:sz w:val="30"/>
          <w:szCs w:val="30"/>
        </w:rPr>
        <w:t>、负责园区渔业综合执法工作，监管全区渔港、渔业水域和渔船安全；组织实施有关海洋与渔业特许证制度；负责渔港监督管理、渔政海监监督管理、船舶检验管理等工作；</w:t>
      </w:r>
    </w:p>
    <w:p w14:paraId="749E4F6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14</w:t>
      </w:r>
      <w:r>
        <w:rPr>
          <w:rFonts w:hint="eastAsia" w:ascii="仿宋" w:hAnsi="仿宋" w:eastAsia="仿宋" w:cs="仿宋"/>
          <w:color w:val="000000"/>
          <w:kern w:val="0"/>
          <w:sz w:val="30"/>
          <w:szCs w:val="30"/>
        </w:rPr>
        <w:t>、负责园区旅游资源的调查与规划，协调旅游资源开发，监管旅游市场，受理有关旅游的各类投诉；</w:t>
      </w:r>
    </w:p>
    <w:p w14:paraId="7C46A8F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、组织生产资料和生活资料市场、重要商业网点布局论证，经批准后组织实施和监督检查；</w:t>
      </w:r>
    </w:p>
    <w:p w14:paraId="3398F56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、依法保护园区气象探测环境，管理园区人工影响天气工作，提出气象灾害防御措施，保护和利用园区气候资源；</w:t>
      </w:r>
    </w:p>
    <w:p w14:paraId="68DA46D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负责管理园区防震减灾工作，拟定全区地震应急预案与综合防御措施，开展防震减灾宣传教育工作，提高全社会的防震减灾意识；负责调查园区有感地震和落实地震异常、破坏性地震考察及应急工作；及时平息地震谣言、地震误传等突发事件，做好稳定社会的工作。</w:t>
      </w:r>
    </w:p>
    <w:p w14:paraId="74C71054">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（二）司法局：</w:t>
      </w:r>
    </w:p>
    <w:p w14:paraId="30CF119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、贯彻执行国家、省、市有关司法行政工作的方针政策、法律法规及规章，研究拟定全区司法行政工作的中长期规划、年度计划及相关的地方性行政管理规定，并组织实施；</w:t>
      </w:r>
    </w:p>
    <w:p w14:paraId="7BD47300">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、制订全区法制宣传与普法教育规划，并组织实施；指导各街道、各行业的依法治理和法制宣传工作；</w:t>
      </w:r>
    </w:p>
    <w:p w14:paraId="70D0578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、指导、管理、监督全区的法律服务工作，指导监督区内各街道基层法律服务所、律师事务所、公证处工作；</w:t>
      </w:r>
    </w:p>
    <w:p w14:paraId="174B30A4">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、指导和管理全区人民调解工作；参与社会治安综合治理工作；管理、指导基层司法所和全区司法助理工作；</w:t>
      </w:r>
    </w:p>
    <w:p w14:paraId="6892B142">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、协调和指导基层司法所刑释解教人员安置帮教工作；</w:t>
      </w:r>
    </w:p>
    <w:p w14:paraId="396D30F0">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、指导监督全区社区矫正工作，监督街道检查、考核本区社区矫正工作实施情况；</w:t>
      </w:r>
    </w:p>
    <w:p w14:paraId="0DC3EE5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、指导全区司法行政系统的计划、财务工作；负责协助承办全区司法行政系统服装、车辆等物资装备；</w:t>
      </w:r>
    </w:p>
    <w:p w14:paraId="502938B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、承担区委、区政府和上级部门交办的其它工作。</w:t>
      </w:r>
    </w:p>
    <w:p w14:paraId="5502522E">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（三）残疾人联合会：</w:t>
      </w:r>
    </w:p>
    <w:p w14:paraId="69925F91">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、贯彻执行党和国家关于残疾人事业的方针政策、法律法规，协助政府研究制定和实施残疾人事业的政策、规划计划；</w:t>
      </w:r>
    </w:p>
    <w:p w14:paraId="3222237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、维护残疾人合法权益，沟通政府、社会与残疾人之间的联系；</w:t>
      </w:r>
    </w:p>
    <w:p w14:paraId="7E351BF1">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、开展残疾人康复、教育培训、劳动就业、扶贫、无障碍设施建设和残疾预防工作；</w:t>
      </w:r>
    </w:p>
    <w:p w14:paraId="305A0A27">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、负责对各类残疾人社会团体组织进行指导、监督和管理。</w:t>
      </w:r>
    </w:p>
    <w:p w14:paraId="56C9570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6D7311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w:t>
      </w:r>
      <w:r>
        <w:rPr>
          <w:rFonts w:hint="eastAsia" w:ascii="仿宋" w:hAnsi="仿宋" w:eastAsia="仿宋" w:cs="仿宋"/>
          <w:bCs/>
          <w:sz w:val="30"/>
          <w:szCs w:val="30"/>
        </w:rPr>
        <w:t>社会事业管理局</w:t>
      </w:r>
      <w:r>
        <w:rPr>
          <w:rFonts w:hint="eastAsia" w:ascii="仿宋" w:hAnsi="仿宋" w:eastAsia="仿宋" w:cs="仿宋"/>
          <w:color w:val="000000"/>
          <w:kern w:val="0"/>
          <w:sz w:val="30"/>
          <w:szCs w:val="30"/>
        </w:rPr>
        <w:t>部门预算为本部综合收支计划，无二级单位。</w:t>
      </w:r>
    </w:p>
    <w:p w14:paraId="1C8D455A">
      <w:pPr>
        <w:widowControl/>
        <w:spacing w:line="330" w:lineRule="atLeast"/>
        <w:ind w:firstLine="600" w:firstLineChars="200"/>
        <w:jc w:val="left"/>
        <w:rPr>
          <w:rFonts w:ascii="仿宋" w:hAnsi="仿宋" w:eastAsia="仿宋" w:cs="仿宋"/>
          <w:color w:val="000000"/>
          <w:kern w:val="0"/>
          <w:sz w:val="30"/>
          <w:szCs w:val="30"/>
        </w:rPr>
      </w:pPr>
    </w:p>
    <w:p w14:paraId="59F9D3C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60754D9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69602B5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按照综合预算的原则，本部门所有收入和支出均纳入部门预算管理，无下级预算单位。收入包括：财政拨款收入4432.9万元；支出包括：商品和服务支出712.5万元, 对个人家庭补助支出3720.4万元。全部为一般公共预算收支，无政府性基金预算收支。收入比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年预算数减少2895.2万元，其中财政拨款收入比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年预算数减少2895.2万元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9年预算数减少2895.2万元</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其中对个人家庭补助支出减少3452.7万元，商品和服</w:t>
      </w:r>
      <w:r>
        <w:rPr>
          <w:rFonts w:hint="eastAsia" w:ascii="仿宋" w:hAnsi="仿宋" w:eastAsia="仿宋" w:cs="仿宋"/>
          <w:sz w:val="30"/>
          <w:szCs w:val="30"/>
        </w:rPr>
        <w:t>务支出增加557.5万元。</w:t>
      </w:r>
    </w:p>
    <w:p w14:paraId="753F44A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CCAD1D4">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无“三公”经费，比去年减少2.7万元。</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3CF7DE6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6C8CB2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机关运行经费包括定额公用经费9.2万元。</w:t>
      </w:r>
    </w:p>
    <w:p w14:paraId="13DA8D6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36D7DF9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2019年度林地变更调查经费30万元；河道确权划界工作经费42万元；河道智能巡检服务经费15万元；气象服务经费24万元。</w:t>
      </w:r>
    </w:p>
    <w:p w14:paraId="2D206E7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FAC83F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6E7574AB">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3AF92E5F">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国有资产占有使用情况说明为：截至2019年12月31日，部门（单位）共有车辆6辆；单位价值50万元（含）以上通用设备1台（套）；单位价值100万元以上专用设备1台（套）。</w:t>
      </w:r>
    </w:p>
    <w:p w14:paraId="600DD3A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EADDDE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20年，按照“先有绩效，后有预算”原则，本部门共计编制绩效目标</w:t>
      </w:r>
      <w:r>
        <w:rPr>
          <w:rFonts w:ascii="仿宋" w:hAnsi="仿宋" w:eastAsia="仿宋" w:cs="仿宋"/>
          <w:color w:val="000000"/>
          <w:kern w:val="0"/>
          <w:sz w:val="30"/>
          <w:szCs w:val="30"/>
        </w:rPr>
        <w:t>104</w:t>
      </w:r>
      <w:r>
        <w:rPr>
          <w:rFonts w:hint="eastAsia" w:ascii="仿宋" w:hAnsi="仿宋" w:eastAsia="仿宋" w:cs="仿宋"/>
          <w:color w:val="000000"/>
          <w:kern w:val="0"/>
          <w:sz w:val="30"/>
          <w:szCs w:val="30"/>
        </w:rPr>
        <w:t>个，预算金额4423.7万元，占项目支出预算比重100</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w:t>
      </w:r>
    </w:p>
    <w:p w14:paraId="3B0EF23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八、城市居民最低生活保障补贴发放情况</w:t>
      </w:r>
    </w:p>
    <w:p w14:paraId="29A5927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0B58EF5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发放和提高城市居民最低生活保障补贴是市委、市政府保障城乡困难群众基本生活、深化分配制度改革、完善我市社会救助体系建设和扶贫工作的重要举措，作为保民生、保稳定的重要内容，通过保障城市低保对象基本生活，稳步提高困难群众生活水平。</w:t>
      </w:r>
    </w:p>
    <w:p w14:paraId="34638E2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587E367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依据《大连市最低生活保障办法》和《大连市人民政府办公室关于提高城乡居民最低生活保障、特困人员基本生活、孤儿基本生活养育和60年代精简退职职工生活补助标准的通知》（大政办发〔2020〕20号）</w:t>
      </w:r>
    </w:p>
    <w:p w14:paraId="1492208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561FFB1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区社会事业管理局、财政局、各街道和社区。</w:t>
      </w:r>
    </w:p>
    <w:p w14:paraId="2E154A2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4736C52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（1）适用于本辖区行政区域内的最低生活保障。最低生活保障工作应当遵循公开、公平、公正、及时的原则。</w:t>
      </w:r>
    </w:p>
    <w:p w14:paraId="35CFB38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（2）高新区社会事业管理局负责辖区最低生活保障的复核和监督管理工作；各街道办事处负责辖区内最低生活保障的申请受理和审批等工作；各村（居）民委员会协助做好最低生活保障有关工作。</w:t>
      </w:r>
    </w:p>
    <w:p w14:paraId="773BB1F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应对获取最低生活保障家庭的人口、收入和财产状况定期核查。各街道办事处应当根据核查情况，决定增发、减发或者停发最低生活保障金，决定停发最低生活保障金的，应当书面说明理由，并及时向区社管局提出最低生活保障金调整的意见。最低生活保障金的调整自作出决定的次月起执行。</w:t>
      </w:r>
    </w:p>
    <w:p w14:paraId="33B359C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（4）应公开最低生活保障监督咨询电话，对实名举报的，应当逐一核查，并及时向举报人反馈核查处理结果。</w:t>
      </w:r>
    </w:p>
    <w:p w14:paraId="55B5DC4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（5）采取虚报、隐瞒、伪造等手段骗取最低生活保障金的，各街道应当停发最低生活保障金，责令退回非法获取的最低生活保障金，依法追究相应法律责任，并将有关信息记入个人信用记录。</w:t>
      </w:r>
    </w:p>
    <w:p w14:paraId="262E675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36961A9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2020年1月—2020年12月</w:t>
      </w:r>
    </w:p>
    <w:p w14:paraId="023DB5F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1F5464E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2020年拟安排该项目一般公共预算180万元。</w:t>
      </w:r>
    </w:p>
    <w:p w14:paraId="3767B927">
      <w:pPr>
        <w:widowControl/>
        <w:spacing w:line="330" w:lineRule="atLeast"/>
        <w:jc w:val="left"/>
        <w:rPr>
          <w:rFonts w:ascii="仿宋" w:hAnsi="仿宋" w:eastAsia="仿宋" w:cs="Verdana"/>
          <w:b/>
          <w:color w:val="C00000"/>
          <w:kern w:val="0"/>
          <w:sz w:val="30"/>
          <w:szCs w:val="30"/>
        </w:rPr>
      </w:pPr>
    </w:p>
    <w:p w14:paraId="13811D2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ADDC6B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3AE897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FA6F93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688D97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D2DB82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DCC043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16469AD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B28C3A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CE3415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3D3A208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147CBA2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214312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E63B3A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39BC49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24C8CDF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682E53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F261DE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327D67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4BA1313">
      <w:pPr>
        <w:widowControl/>
        <w:spacing w:line="330" w:lineRule="atLeast"/>
        <w:ind w:firstLine="600" w:firstLineChars="200"/>
        <w:jc w:val="left"/>
        <w:rPr>
          <w:rFonts w:ascii="仿宋" w:hAnsi="仿宋" w:eastAsia="仿宋"/>
          <w:color w:val="000000"/>
          <w:sz w:val="30"/>
          <w:szCs w:val="30"/>
        </w:rPr>
      </w:pPr>
    </w:p>
    <w:p w14:paraId="340570A9">
      <w:pPr>
        <w:spacing w:line="600" w:lineRule="exact"/>
        <w:rPr>
          <w:rFonts w:ascii="仿宋" w:hAnsi="仿宋" w:eastAsia="仿宋"/>
          <w:sz w:val="30"/>
          <w:szCs w:val="30"/>
        </w:rPr>
      </w:pPr>
      <w:r>
        <w:rPr>
          <w:rFonts w:ascii="仿宋" w:hAnsi="仿宋" w:eastAsia="仿宋" w:cs="仿宋"/>
          <w:sz w:val="30"/>
          <w:szCs w:val="30"/>
        </w:rPr>
        <w:t xml:space="preserve">                                 2020</w:t>
      </w:r>
      <w:r>
        <w:rPr>
          <w:rFonts w:hint="eastAsia" w:ascii="仿宋" w:hAnsi="仿宋" w:eastAsia="仿宋" w:cs="仿宋"/>
          <w:sz w:val="30"/>
          <w:szCs w:val="30"/>
        </w:rPr>
        <w:t>年</w:t>
      </w:r>
      <w:r>
        <w:rPr>
          <w:rFonts w:ascii="仿宋" w:hAnsi="仿宋" w:eastAsia="仿宋" w:cs="仿宋"/>
          <w:sz w:val="30"/>
          <w:szCs w:val="30"/>
        </w:rPr>
        <w:t>6</w:t>
      </w:r>
      <w:r>
        <w:rPr>
          <w:rFonts w:hint="eastAsia" w:ascii="仿宋" w:hAnsi="仿宋" w:eastAsia="仿宋" w:cs="仿宋"/>
          <w:sz w:val="30"/>
          <w:szCs w:val="30"/>
        </w:rPr>
        <w:t>月</w:t>
      </w:r>
      <w:r>
        <w:rPr>
          <w:rFonts w:ascii="仿宋" w:hAnsi="仿宋" w:eastAsia="仿宋" w:cs="仿宋"/>
          <w:sz w:val="30"/>
          <w:szCs w:val="30"/>
        </w:rPr>
        <w:t>4</w:t>
      </w:r>
      <w:r>
        <w:rPr>
          <w:rFonts w:hint="eastAsia" w:ascii="仿宋" w:hAnsi="仿宋" w:eastAsia="仿宋" w:cs="仿宋"/>
          <w:sz w:val="30"/>
          <w:szCs w:val="30"/>
        </w:rPr>
        <w:t>日</w:t>
      </w:r>
    </w:p>
    <w:p w14:paraId="0FBBC6D1">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1F5"/>
    <w:rsid w:val="000B743C"/>
    <w:rsid w:val="00104164"/>
    <w:rsid w:val="0010550E"/>
    <w:rsid w:val="00187190"/>
    <w:rsid w:val="001961A4"/>
    <w:rsid w:val="001A7236"/>
    <w:rsid w:val="001B649F"/>
    <w:rsid w:val="001D7151"/>
    <w:rsid w:val="001E3E93"/>
    <w:rsid w:val="002302C8"/>
    <w:rsid w:val="002434C7"/>
    <w:rsid w:val="002457D3"/>
    <w:rsid w:val="00264775"/>
    <w:rsid w:val="00264838"/>
    <w:rsid w:val="0027504D"/>
    <w:rsid w:val="002D1056"/>
    <w:rsid w:val="002F4C78"/>
    <w:rsid w:val="003258E1"/>
    <w:rsid w:val="003575E3"/>
    <w:rsid w:val="003832B7"/>
    <w:rsid w:val="003B3088"/>
    <w:rsid w:val="003E3D1A"/>
    <w:rsid w:val="003F2B69"/>
    <w:rsid w:val="00404FA7"/>
    <w:rsid w:val="004221E9"/>
    <w:rsid w:val="00450727"/>
    <w:rsid w:val="00476072"/>
    <w:rsid w:val="004A06FA"/>
    <w:rsid w:val="004B4E37"/>
    <w:rsid w:val="004D6669"/>
    <w:rsid w:val="004E7AE3"/>
    <w:rsid w:val="005A04CC"/>
    <w:rsid w:val="005C4B45"/>
    <w:rsid w:val="006105B0"/>
    <w:rsid w:val="00613B30"/>
    <w:rsid w:val="006F4006"/>
    <w:rsid w:val="007164E9"/>
    <w:rsid w:val="00727E24"/>
    <w:rsid w:val="00755C7B"/>
    <w:rsid w:val="00774FE5"/>
    <w:rsid w:val="007805EB"/>
    <w:rsid w:val="007A25E0"/>
    <w:rsid w:val="007C522A"/>
    <w:rsid w:val="007D35BB"/>
    <w:rsid w:val="007F7739"/>
    <w:rsid w:val="008620BC"/>
    <w:rsid w:val="008A780C"/>
    <w:rsid w:val="008B01B8"/>
    <w:rsid w:val="00932AF0"/>
    <w:rsid w:val="00941B10"/>
    <w:rsid w:val="00944E67"/>
    <w:rsid w:val="00961681"/>
    <w:rsid w:val="009A1025"/>
    <w:rsid w:val="009B2273"/>
    <w:rsid w:val="009B23BD"/>
    <w:rsid w:val="009D4E7B"/>
    <w:rsid w:val="009F1015"/>
    <w:rsid w:val="009F141C"/>
    <w:rsid w:val="00A12672"/>
    <w:rsid w:val="00A2596F"/>
    <w:rsid w:val="00A42FA8"/>
    <w:rsid w:val="00A47EDA"/>
    <w:rsid w:val="00A527E2"/>
    <w:rsid w:val="00A5549A"/>
    <w:rsid w:val="00A81A6B"/>
    <w:rsid w:val="00A87231"/>
    <w:rsid w:val="00AB1612"/>
    <w:rsid w:val="00AD34CF"/>
    <w:rsid w:val="00B1010D"/>
    <w:rsid w:val="00BA04FD"/>
    <w:rsid w:val="00BA2413"/>
    <w:rsid w:val="00C0033D"/>
    <w:rsid w:val="00C25497"/>
    <w:rsid w:val="00C42269"/>
    <w:rsid w:val="00C93B15"/>
    <w:rsid w:val="00CA3776"/>
    <w:rsid w:val="00CA554B"/>
    <w:rsid w:val="00CB5FFD"/>
    <w:rsid w:val="00CD08A5"/>
    <w:rsid w:val="00CF573D"/>
    <w:rsid w:val="00D16CD8"/>
    <w:rsid w:val="00D176CA"/>
    <w:rsid w:val="00D613F4"/>
    <w:rsid w:val="00DA0242"/>
    <w:rsid w:val="00DA0C9F"/>
    <w:rsid w:val="00DA3443"/>
    <w:rsid w:val="00DA3799"/>
    <w:rsid w:val="00DA4943"/>
    <w:rsid w:val="00DC1136"/>
    <w:rsid w:val="00DD35CC"/>
    <w:rsid w:val="00DD605A"/>
    <w:rsid w:val="00DE36E3"/>
    <w:rsid w:val="00E23EBC"/>
    <w:rsid w:val="00E508CF"/>
    <w:rsid w:val="00EA4C30"/>
    <w:rsid w:val="00EB6E55"/>
    <w:rsid w:val="00EE06A7"/>
    <w:rsid w:val="00EE134B"/>
    <w:rsid w:val="00EE3FDD"/>
    <w:rsid w:val="00F01060"/>
    <w:rsid w:val="00F0791C"/>
    <w:rsid w:val="00F43E5B"/>
    <w:rsid w:val="00FB1A98"/>
    <w:rsid w:val="00FD7251"/>
    <w:rsid w:val="13BF359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iPriority w:val="99"/>
    <w:pPr>
      <w:tabs>
        <w:tab w:val="center" w:pos="4153"/>
        <w:tab w:val="right" w:pos="8306"/>
      </w:tabs>
      <w:snapToGrid w:val="0"/>
      <w:jc w:val="left"/>
    </w:pPr>
    <w:rPr>
      <w:sz w:val="18"/>
      <w:szCs w:val="18"/>
    </w:rPr>
  </w:style>
  <w:style w:type="paragraph" w:styleId="3">
    <w:name w:val="header"/>
    <w:basedOn w:val="1"/>
    <w:link w:val="7"/>
    <w:semiHidden/>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页眉 Char"/>
    <w:basedOn w:val="6"/>
    <w:link w:val="3"/>
    <w:semiHidden/>
    <w:locked/>
    <w:uiPriority w:val="99"/>
    <w:rPr>
      <w:rFonts w:ascii="Times New Roman" w:hAnsi="Times New Roman" w:eastAsia="宋体" w:cs="Times New Roman"/>
      <w:sz w:val="18"/>
      <w:szCs w:val="18"/>
    </w:rPr>
  </w:style>
  <w:style w:type="character" w:customStyle="1" w:styleId="8">
    <w:name w:val="页脚 Char"/>
    <w:basedOn w:val="6"/>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4243</Words>
  <Characters>4387</Characters>
  <Lines>32</Lines>
  <Paragraphs>9</Paragraphs>
  <TotalTime>141</TotalTime>
  <ScaleCrop>false</ScaleCrop>
  <LinksUpToDate>false</LinksUpToDate>
  <CharactersWithSpaces>4430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2025-12-25T09:12:11Z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0B141E1343E04E95B1FADB63F1631562_12</vt:lpwstr>
  </property>
</Properties>
</file>