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83A71">
      <w:pPr>
        <w:spacing w:line="600" w:lineRule="exact"/>
        <w:rPr>
          <w:rFonts w:ascii="仿宋_GB2312" w:eastAsia="仿宋_GB2312"/>
          <w:sz w:val="32"/>
          <w:szCs w:val="32"/>
        </w:rPr>
      </w:pPr>
      <w:bookmarkStart w:id="0" w:name="_GoBack"/>
      <w:bookmarkEnd w:id="0"/>
    </w:p>
    <w:p w14:paraId="23C2925F">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高新区经济发展局（统计局）</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1年部门预算</w:t>
      </w:r>
    </w:p>
    <w:p w14:paraId="7F888BB2">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134A60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3C06FA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2342BF7">
      <w:pPr>
        <w:ind w:firstLine="600" w:firstLineChars="200"/>
        <w:rPr>
          <w:rFonts w:ascii="仿宋" w:hAnsi="仿宋" w:eastAsia="仿宋"/>
          <w:sz w:val="30"/>
          <w:szCs w:val="30"/>
        </w:rPr>
      </w:pPr>
      <w:r>
        <w:rPr>
          <w:rFonts w:ascii="仿宋" w:hAnsi="仿宋" w:eastAsia="仿宋"/>
          <w:sz w:val="30"/>
          <w:szCs w:val="30"/>
        </w:rPr>
        <w:t>（一）拟订并组织实施</w:t>
      </w:r>
      <w:r>
        <w:rPr>
          <w:rFonts w:hint="eastAsia" w:ascii="仿宋" w:hAnsi="仿宋" w:eastAsia="仿宋"/>
          <w:sz w:val="30"/>
          <w:szCs w:val="30"/>
        </w:rPr>
        <w:t>全区</w:t>
      </w:r>
      <w:r>
        <w:rPr>
          <w:rFonts w:ascii="仿宋" w:hAnsi="仿宋" w:eastAsia="仿宋"/>
          <w:sz w:val="30"/>
          <w:szCs w:val="30"/>
        </w:rPr>
        <w:t>国民经济和社会发展战略、中长期规划和年度计划，统筹协调全区经济社会发展总体规划、专项规划、区域规划，衔接需要安排</w:t>
      </w:r>
      <w:r>
        <w:rPr>
          <w:rFonts w:hint="eastAsia" w:ascii="仿宋" w:hAnsi="仿宋" w:eastAsia="仿宋"/>
          <w:sz w:val="30"/>
          <w:szCs w:val="30"/>
        </w:rPr>
        <w:t>管委会</w:t>
      </w:r>
      <w:r>
        <w:rPr>
          <w:rFonts w:ascii="仿宋" w:hAnsi="仿宋" w:eastAsia="仿宋"/>
          <w:sz w:val="30"/>
          <w:szCs w:val="30"/>
        </w:rPr>
        <w:t>投资和涉及重大项目的规划，建立健全科学制定、有效实施、及时评估和动态调整全区发展战略规划的制度机制。</w:t>
      </w:r>
    </w:p>
    <w:p w14:paraId="5439A436">
      <w:pPr>
        <w:pStyle w:val="3"/>
        <w:ind w:firstLine="600" w:firstLineChars="200"/>
        <w:rPr>
          <w:rFonts w:ascii="仿宋" w:hAnsi="仿宋" w:eastAsia="仿宋"/>
          <w:sz w:val="30"/>
          <w:szCs w:val="30"/>
        </w:rPr>
      </w:pPr>
      <w:r>
        <w:rPr>
          <w:rFonts w:ascii="仿宋" w:hAnsi="仿宋" w:eastAsia="仿宋"/>
          <w:sz w:val="30"/>
          <w:szCs w:val="30"/>
        </w:rPr>
        <w:t>（二）起草全区国民经济和社会发展、经济体制改革等</w:t>
      </w:r>
      <w:r>
        <w:rPr>
          <w:rFonts w:hint="eastAsia" w:ascii="仿宋" w:hAnsi="仿宋" w:eastAsia="仿宋"/>
          <w:sz w:val="30"/>
          <w:szCs w:val="30"/>
        </w:rPr>
        <w:t>文件草案</w:t>
      </w:r>
      <w:r>
        <w:rPr>
          <w:rFonts w:ascii="仿宋" w:hAnsi="仿宋" w:eastAsia="仿宋"/>
          <w:sz w:val="30"/>
          <w:szCs w:val="30"/>
        </w:rPr>
        <w:t>。</w:t>
      </w:r>
      <w:r>
        <w:rPr>
          <w:rFonts w:hint="eastAsia" w:ascii="仿宋" w:hAnsi="仿宋" w:eastAsia="仿宋"/>
          <w:sz w:val="30"/>
          <w:szCs w:val="30"/>
        </w:rPr>
        <w:t>协调解决区域经济和社会发展中的重大问题。</w:t>
      </w:r>
    </w:p>
    <w:p w14:paraId="49ED8513">
      <w:pPr>
        <w:ind w:firstLine="600" w:firstLineChars="200"/>
        <w:rPr>
          <w:rFonts w:ascii="仿宋" w:hAnsi="仿宋" w:eastAsia="仿宋"/>
          <w:sz w:val="30"/>
          <w:szCs w:val="30"/>
        </w:rPr>
      </w:pPr>
      <w:r>
        <w:rPr>
          <w:rFonts w:ascii="仿宋" w:hAnsi="仿宋" w:eastAsia="仿宋"/>
          <w:sz w:val="30"/>
          <w:szCs w:val="30"/>
        </w:rPr>
        <w:t>（三）统筹协调全区经济社会发展，研判经济发展趋势，提出国民经济发展和优化重大经济结构的目标、政策，提出综合运用各种经济手段和政策的建议。综合协调全区宏观经济政策，会同相关部门完善宏观调控协调机制，推进宏观调控目标制定和政策手段运用机制化。</w:t>
      </w:r>
    </w:p>
    <w:p w14:paraId="261FC303">
      <w:pPr>
        <w:ind w:firstLine="600" w:firstLineChars="200"/>
        <w:rPr>
          <w:rFonts w:ascii="仿宋" w:hAnsi="仿宋" w:eastAsia="仿宋"/>
          <w:sz w:val="30"/>
          <w:szCs w:val="30"/>
        </w:rPr>
      </w:pPr>
      <w:r>
        <w:rPr>
          <w:rFonts w:ascii="仿宋" w:hAnsi="仿宋" w:eastAsia="仿宋"/>
          <w:sz w:val="30"/>
          <w:szCs w:val="30"/>
        </w:rPr>
        <w:t>（四）负责监测全区宏观经济和社会发展态势，承担预测预警和信息引导的责任，研究宏观经济运行、总量平衡等重要问题并提出</w:t>
      </w:r>
      <w:r>
        <w:rPr>
          <w:rFonts w:ascii="仿宋" w:hAnsi="仿宋" w:eastAsia="仿宋"/>
          <w:color w:val="000000"/>
          <w:sz w:val="30"/>
          <w:szCs w:val="30"/>
        </w:rPr>
        <w:t>宏观调控政策建议，研究并协调解决全区经济运行有关重大问题</w:t>
      </w:r>
      <w:r>
        <w:rPr>
          <w:rFonts w:hint="eastAsia" w:ascii="仿宋" w:hAnsi="仿宋" w:eastAsia="仿宋"/>
          <w:color w:val="000000"/>
          <w:sz w:val="30"/>
          <w:szCs w:val="30"/>
        </w:rPr>
        <w:t>，为党工委、管委会决策提供依据。</w:t>
      </w:r>
    </w:p>
    <w:p w14:paraId="1073C3DF">
      <w:pPr>
        <w:ind w:firstLine="645"/>
        <w:rPr>
          <w:rFonts w:ascii="仿宋" w:hAnsi="仿宋" w:eastAsia="仿宋"/>
          <w:b/>
          <w:color w:val="000000"/>
          <w:sz w:val="30"/>
          <w:szCs w:val="30"/>
          <w:u w:val="dotted"/>
        </w:rPr>
      </w:pPr>
      <w:r>
        <w:rPr>
          <w:rFonts w:ascii="仿宋" w:hAnsi="仿宋" w:eastAsia="仿宋"/>
          <w:sz w:val="30"/>
          <w:szCs w:val="30"/>
        </w:rPr>
        <w:t>（五）综合协调全区经济体制改革的责任，研究经济体制改革，组织拟订综合性经济体制改革方案，协调有关专项经济体制改革方案，会同有关部门搞好重要专项经济体制改革之间的衔接，指导经济体制改革试点工</w:t>
      </w:r>
      <w:r>
        <w:rPr>
          <w:rFonts w:ascii="仿宋" w:hAnsi="仿宋" w:eastAsia="仿宋"/>
          <w:color w:val="000000"/>
          <w:sz w:val="30"/>
          <w:szCs w:val="30"/>
        </w:rPr>
        <w:t>作</w:t>
      </w:r>
      <w:r>
        <w:rPr>
          <w:rFonts w:hint="eastAsia" w:ascii="仿宋" w:hAnsi="仿宋" w:eastAsia="仿宋"/>
          <w:color w:val="000000"/>
          <w:sz w:val="30"/>
          <w:szCs w:val="30"/>
        </w:rPr>
        <w:t>。</w:t>
      </w:r>
    </w:p>
    <w:p w14:paraId="2C2F131D">
      <w:pPr>
        <w:pStyle w:val="2"/>
        <w:ind w:firstLine="600" w:firstLineChars="200"/>
        <w:rPr>
          <w:rFonts w:ascii="仿宋" w:hAnsi="仿宋" w:eastAsia="仿宋"/>
          <w:b/>
          <w:i/>
          <w:color w:val="000000"/>
          <w:sz w:val="30"/>
          <w:szCs w:val="30"/>
        </w:rPr>
      </w:pPr>
      <w:r>
        <w:rPr>
          <w:rFonts w:ascii="仿宋" w:hAnsi="仿宋" w:eastAsia="仿宋"/>
          <w:color w:val="000000"/>
          <w:sz w:val="30"/>
          <w:szCs w:val="30"/>
        </w:rPr>
        <w:t>（</w:t>
      </w:r>
      <w:r>
        <w:rPr>
          <w:rFonts w:hint="eastAsia" w:ascii="仿宋" w:hAnsi="仿宋" w:eastAsia="仿宋"/>
          <w:color w:val="000000"/>
          <w:sz w:val="30"/>
          <w:szCs w:val="30"/>
        </w:rPr>
        <w:t>六</w:t>
      </w:r>
      <w:r>
        <w:rPr>
          <w:rFonts w:ascii="仿宋" w:hAnsi="仿宋" w:eastAsia="仿宋"/>
          <w:color w:val="000000"/>
          <w:sz w:val="30"/>
          <w:szCs w:val="30"/>
        </w:rPr>
        <w:t>）承担全区固定资产投资综合管理职责，拟订全社会固定资产投资总规模和投资结构的调控目标、政策措施。</w:t>
      </w:r>
      <w:r>
        <w:rPr>
          <w:rFonts w:hint="eastAsia" w:ascii="仿宋" w:hAnsi="仿宋" w:eastAsia="仿宋"/>
          <w:color w:val="000000"/>
          <w:sz w:val="30"/>
          <w:szCs w:val="30"/>
        </w:rPr>
        <w:t>按权限对全区企业投资项目进行核准、备案，负责编制区本级政府投资计划，对区政府投资项目进行审批</w:t>
      </w:r>
      <w:r>
        <w:rPr>
          <w:rFonts w:ascii="仿宋" w:hAnsi="仿宋" w:eastAsia="仿宋"/>
          <w:color w:val="000000"/>
          <w:sz w:val="30"/>
          <w:szCs w:val="30"/>
        </w:rPr>
        <w:t>。</w:t>
      </w:r>
      <w:r>
        <w:rPr>
          <w:rFonts w:hint="eastAsia" w:ascii="仿宋" w:hAnsi="仿宋" w:eastAsia="仿宋"/>
          <w:color w:val="000000"/>
          <w:sz w:val="30"/>
          <w:szCs w:val="30"/>
        </w:rPr>
        <w:t>协调组织各部门做好国家、省、市各类扶持资金的申报工作。</w:t>
      </w:r>
    </w:p>
    <w:p w14:paraId="5B0B0C42">
      <w:pPr>
        <w:ind w:firstLine="645"/>
        <w:rPr>
          <w:rFonts w:ascii="仿宋" w:hAnsi="仿宋" w:eastAsia="仿宋"/>
          <w:sz w:val="30"/>
          <w:szCs w:val="30"/>
        </w:rPr>
      </w:pPr>
      <w:r>
        <w:rPr>
          <w:rFonts w:ascii="仿宋" w:hAnsi="仿宋" w:eastAsia="仿宋"/>
          <w:sz w:val="30"/>
          <w:szCs w:val="30"/>
        </w:rPr>
        <w:t>（</w:t>
      </w:r>
      <w:r>
        <w:rPr>
          <w:rFonts w:hint="eastAsia" w:ascii="仿宋" w:hAnsi="仿宋" w:eastAsia="仿宋"/>
          <w:sz w:val="30"/>
          <w:szCs w:val="30"/>
        </w:rPr>
        <w:t>七</w:t>
      </w:r>
      <w:r>
        <w:rPr>
          <w:rFonts w:ascii="仿宋" w:hAnsi="仿宋" w:eastAsia="仿宋"/>
          <w:sz w:val="30"/>
          <w:szCs w:val="30"/>
        </w:rPr>
        <w:t>）推进全区经济结构优化和战略性调整，组织拟订综合性产业政策，负责协调产业发展的重大问题并衔接平衡相关发展规划和重大政策，做好与全区国民经济和社会发展规划、计划的衔接平衡。会同有关部门拟订全区服务业</w:t>
      </w:r>
      <w:r>
        <w:rPr>
          <w:rFonts w:hint="eastAsia" w:ascii="仿宋" w:hAnsi="仿宋" w:eastAsia="仿宋"/>
          <w:sz w:val="30"/>
          <w:szCs w:val="30"/>
        </w:rPr>
        <w:t>、</w:t>
      </w:r>
      <w:r>
        <w:rPr>
          <w:rFonts w:ascii="仿宋" w:hAnsi="仿宋" w:eastAsia="仿宋"/>
          <w:sz w:val="30"/>
          <w:szCs w:val="30"/>
        </w:rPr>
        <w:t>战略性新兴产业发展战略和重大政策</w:t>
      </w:r>
      <w:r>
        <w:rPr>
          <w:rFonts w:hint="eastAsia" w:ascii="仿宋" w:hAnsi="仿宋" w:eastAsia="仿宋"/>
          <w:sz w:val="30"/>
          <w:szCs w:val="30"/>
        </w:rPr>
        <w:t>。</w:t>
      </w:r>
    </w:p>
    <w:p w14:paraId="4848A0F7">
      <w:pPr>
        <w:ind w:firstLine="600" w:firstLineChars="200"/>
        <w:rPr>
          <w:rFonts w:ascii="仿宋" w:hAnsi="仿宋" w:eastAsia="仿宋"/>
          <w:sz w:val="30"/>
          <w:szCs w:val="30"/>
        </w:rPr>
      </w:pPr>
      <w:r>
        <w:rPr>
          <w:rFonts w:ascii="仿宋" w:hAnsi="仿宋" w:eastAsia="仿宋"/>
          <w:sz w:val="30"/>
          <w:szCs w:val="30"/>
        </w:rPr>
        <w:t>（</w:t>
      </w:r>
      <w:r>
        <w:rPr>
          <w:rFonts w:hint="eastAsia" w:ascii="仿宋" w:hAnsi="仿宋" w:eastAsia="仿宋"/>
          <w:sz w:val="30"/>
          <w:szCs w:val="30"/>
        </w:rPr>
        <w:t>八</w:t>
      </w:r>
      <w:r>
        <w:rPr>
          <w:rFonts w:ascii="仿宋" w:hAnsi="仿宋" w:eastAsia="仿宋"/>
          <w:sz w:val="30"/>
          <w:szCs w:val="30"/>
        </w:rPr>
        <w:t>）</w:t>
      </w:r>
      <w:r>
        <w:rPr>
          <w:rFonts w:hint="eastAsia" w:ascii="仿宋" w:hAnsi="仿宋" w:eastAsia="仿宋"/>
          <w:color w:val="000000"/>
          <w:sz w:val="30"/>
          <w:szCs w:val="30"/>
        </w:rPr>
        <w:t>负责统筹</w:t>
      </w:r>
      <w:r>
        <w:rPr>
          <w:rFonts w:ascii="仿宋" w:hAnsi="仿宋" w:eastAsia="仿宋"/>
          <w:color w:val="000000"/>
          <w:sz w:val="30"/>
          <w:szCs w:val="30"/>
        </w:rPr>
        <w:t>推进落实</w:t>
      </w:r>
      <w:r>
        <w:rPr>
          <w:rFonts w:hint="eastAsia" w:ascii="仿宋" w:hAnsi="仿宋" w:eastAsia="仿宋"/>
          <w:color w:val="000000"/>
          <w:sz w:val="30"/>
          <w:szCs w:val="30"/>
        </w:rPr>
        <w:t>省市</w:t>
      </w:r>
      <w:r>
        <w:rPr>
          <w:rFonts w:ascii="仿宋" w:hAnsi="仿宋" w:eastAsia="仿宋"/>
          <w:color w:val="000000"/>
          <w:sz w:val="30"/>
          <w:szCs w:val="30"/>
        </w:rPr>
        <w:t>区</w:t>
      </w:r>
      <w:r>
        <w:rPr>
          <w:rFonts w:ascii="仿宋" w:hAnsi="仿宋" w:eastAsia="仿宋"/>
          <w:sz w:val="30"/>
          <w:szCs w:val="30"/>
        </w:rPr>
        <w:t>域发展总体战略。</w:t>
      </w:r>
    </w:p>
    <w:p w14:paraId="724B7920">
      <w:pPr>
        <w:ind w:firstLine="645"/>
        <w:rPr>
          <w:rFonts w:ascii="仿宋" w:hAnsi="仿宋" w:eastAsia="仿宋"/>
          <w:sz w:val="30"/>
          <w:szCs w:val="30"/>
        </w:rPr>
      </w:pPr>
      <w:r>
        <w:rPr>
          <w:rFonts w:hint="eastAsia" w:ascii="仿宋" w:hAnsi="仿宋" w:eastAsia="仿宋"/>
          <w:color w:val="000000"/>
          <w:sz w:val="30"/>
          <w:szCs w:val="30"/>
        </w:rPr>
        <w:t>（九）</w:t>
      </w:r>
      <w:r>
        <w:rPr>
          <w:rFonts w:ascii="仿宋" w:hAnsi="仿宋" w:eastAsia="仿宋"/>
          <w:sz w:val="30"/>
          <w:szCs w:val="30"/>
        </w:rPr>
        <w:t>负责全区社会发展与国民经济发展的政策衔接，组织拟订社会发展战略、总体规划和年度计划，参与拟订科学技术、教育、文化、卫生</w:t>
      </w:r>
      <w:r>
        <w:rPr>
          <w:rFonts w:hint="eastAsia" w:ascii="仿宋" w:hAnsi="仿宋" w:eastAsia="仿宋"/>
          <w:sz w:val="30"/>
          <w:szCs w:val="30"/>
        </w:rPr>
        <w:t>健康</w:t>
      </w:r>
      <w:r>
        <w:rPr>
          <w:rFonts w:ascii="仿宋" w:hAnsi="仿宋" w:eastAsia="仿宋"/>
          <w:sz w:val="30"/>
          <w:szCs w:val="30"/>
        </w:rPr>
        <w:t>、民政</w:t>
      </w:r>
      <w:r>
        <w:rPr>
          <w:rFonts w:hint="eastAsia" w:ascii="仿宋" w:hAnsi="仿宋" w:eastAsia="仿宋"/>
          <w:sz w:val="30"/>
          <w:szCs w:val="30"/>
        </w:rPr>
        <w:t>、</w:t>
      </w:r>
      <w:r>
        <w:rPr>
          <w:rFonts w:ascii="仿宋" w:hAnsi="仿宋" w:eastAsia="仿宋"/>
          <w:sz w:val="30"/>
          <w:szCs w:val="30"/>
        </w:rPr>
        <w:t>人口等发展政策，推进社会事业建设</w:t>
      </w:r>
      <w:r>
        <w:rPr>
          <w:rFonts w:hint="eastAsia" w:ascii="仿宋" w:hAnsi="仿宋" w:eastAsia="仿宋"/>
          <w:sz w:val="30"/>
          <w:szCs w:val="30"/>
        </w:rPr>
        <w:t>，协调社会事业发展和改革中的重大问题及决策。</w:t>
      </w:r>
    </w:p>
    <w:p w14:paraId="4EE4DDE7">
      <w:pPr>
        <w:ind w:firstLine="645"/>
        <w:rPr>
          <w:rFonts w:ascii="仿宋" w:hAnsi="仿宋" w:eastAsia="仿宋"/>
          <w:b/>
          <w:sz w:val="30"/>
          <w:szCs w:val="30"/>
          <w:u w:val="single"/>
        </w:rPr>
      </w:pPr>
      <w:r>
        <w:rPr>
          <w:rFonts w:hint="eastAsia" w:ascii="仿宋" w:hAnsi="仿宋" w:eastAsia="仿宋"/>
          <w:sz w:val="30"/>
          <w:szCs w:val="30"/>
        </w:rPr>
        <w:t>（十）</w:t>
      </w:r>
      <w:r>
        <w:rPr>
          <w:rFonts w:ascii="仿宋" w:hAnsi="仿宋" w:eastAsia="仿宋"/>
          <w:sz w:val="30"/>
          <w:szCs w:val="30"/>
        </w:rPr>
        <w:t>负责全区社会信用体系建设和综合管理工作，推进社会信用体系建设。</w:t>
      </w:r>
    </w:p>
    <w:p w14:paraId="4CE32F7C">
      <w:pPr>
        <w:ind w:firstLine="600" w:firstLineChars="200"/>
        <w:rPr>
          <w:rFonts w:ascii="仿宋" w:hAnsi="仿宋" w:eastAsia="仿宋"/>
          <w:sz w:val="30"/>
          <w:szCs w:val="30"/>
        </w:rPr>
      </w:pPr>
      <w:r>
        <w:rPr>
          <w:rFonts w:hint="eastAsia" w:ascii="仿宋" w:hAnsi="仿宋" w:eastAsia="仿宋"/>
          <w:sz w:val="30"/>
          <w:szCs w:val="30"/>
        </w:rPr>
        <w:t>（十一）贯彻落实并组织实施国家、省、市价格政策、收费政策。</w:t>
      </w:r>
    </w:p>
    <w:p w14:paraId="67F3A063">
      <w:pPr>
        <w:ind w:firstLine="600" w:firstLineChars="200"/>
        <w:rPr>
          <w:rFonts w:ascii="仿宋" w:hAnsi="仿宋" w:eastAsia="仿宋"/>
          <w:sz w:val="30"/>
          <w:szCs w:val="30"/>
        </w:rPr>
      </w:pPr>
      <w:r>
        <w:rPr>
          <w:rFonts w:ascii="仿宋" w:hAnsi="仿宋" w:eastAsia="仿宋"/>
          <w:sz w:val="30"/>
          <w:szCs w:val="30"/>
        </w:rPr>
        <w:t>（十</w:t>
      </w:r>
      <w:r>
        <w:rPr>
          <w:rFonts w:hint="eastAsia" w:ascii="仿宋" w:hAnsi="仿宋" w:eastAsia="仿宋"/>
          <w:sz w:val="30"/>
          <w:szCs w:val="30"/>
        </w:rPr>
        <w:t>二</w:t>
      </w:r>
      <w:r>
        <w:rPr>
          <w:rFonts w:ascii="仿宋" w:hAnsi="仿宋" w:eastAsia="仿宋"/>
          <w:sz w:val="30"/>
          <w:szCs w:val="30"/>
        </w:rPr>
        <w:t>）</w:t>
      </w:r>
      <w:r>
        <w:rPr>
          <w:rFonts w:hint="eastAsia" w:ascii="仿宋" w:hAnsi="仿宋" w:eastAsia="仿宋"/>
          <w:sz w:val="30"/>
          <w:szCs w:val="30"/>
        </w:rPr>
        <w:t>负责循环经济和节能综合协调工作，推进全区可持续发展战略。</w:t>
      </w:r>
    </w:p>
    <w:p w14:paraId="459FCB5D">
      <w:pPr>
        <w:pStyle w:val="3"/>
        <w:ind w:firstLine="600" w:firstLineChars="200"/>
        <w:rPr>
          <w:rFonts w:ascii="仿宋" w:hAnsi="仿宋" w:eastAsia="仿宋"/>
          <w:sz w:val="30"/>
          <w:szCs w:val="30"/>
        </w:rPr>
      </w:pPr>
      <w:r>
        <w:rPr>
          <w:rFonts w:hint="eastAsia" w:ascii="仿宋" w:hAnsi="仿宋" w:eastAsia="仿宋"/>
          <w:sz w:val="30"/>
          <w:szCs w:val="30"/>
        </w:rPr>
        <w:t>（十三）</w:t>
      </w:r>
      <w:r>
        <w:rPr>
          <w:rFonts w:ascii="仿宋" w:hAnsi="仿宋" w:eastAsia="仿宋"/>
          <w:sz w:val="30"/>
          <w:szCs w:val="30"/>
        </w:rPr>
        <w:t>研究全区国民经济与国防建设的关系，组织实施全区国民经济动员有关工作。</w:t>
      </w:r>
    </w:p>
    <w:p w14:paraId="5162B4E4">
      <w:pPr>
        <w:ind w:firstLine="600" w:firstLineChars="200"/>
        <w:rPr>
          <w:rFonts w:ascii="仿宋" w:hAnsi="仿宋" w:eastAsia="仿宋"/>
          <w:color w:val="000000"/>
          <w:sz w:val="30"/>
          <w:szCs w:val="30"/>
        </w:rPr>
      </w:pPr>
      <w:r>
        <w:rPr>
          <w:rFonts w:ascii="仿宋" w:hAnsi="仿宋" w:eastAsia="仿宋"/>
          <w:color w:val="000000"/>
          <w:sz w:val="30"/>
          <w:szCs w:val="30"/>
        </w:rPr>
        <w:t>（十</w:t>
      </w:r>
      <w:r>
        <w:rPr>
          <w:rFonts w:hint="eastAsia" w:ascii="仿宋" w:hAnsi="仿宋" w:eastAsia="仿宋"/>
          <w:color w:val="000000"/>
          <w:sz w:val="30"/>
          <w:szCs w:val="30"/>
        </w:rPr>
        <w:t>四</w:t>
      </w:r>
      <w:r>
        <w:rPr>
          <w:rFonts w:ascii="仿宋" w:hAnsi="仿宋" w:eastAsia="仿宋"/>
          <w:color w:val="000000"/>
          <w:sz w:val="30"/>
          <w:szCs w:val="30"/>
        </w:rPr>
        <w:t>）</w:t>
      </w:r>
      <w:r>
        <w:rPr>
          <w:rFonts w:hint="eastAsia" w:ascii="仿宋" w:hAnsi="仿宋" w:eastAsia="仿宋"/>
          <w:color w:val="000000"/>
          <w:sz w:val="30"/>
          <w:szCs w:val="30"/>
        </w:rPr>
        <w:t>组织实施重要物资和应急储备物资收储、轮换和日常管理工作。</w:t>
      </w:r>
    </w:p>
    <w:p w14:paraId="6DF19C70">
      <w:pPr>
        <w:ind w:firstLine="600" w:firstLineChars="200"/>
        <w:rPr>
          <w:rFonts w:ascii="仿宋" w:hAnsi="仿宋" w:eastAsia="仿宋"/>
          <w:sz w:val="30"/>
          <w:szCs w:val="30"/>
        </w:rPr>
      </w:pPr>
      <w:r>
        <w:rPr>
          <w:rFonts w:hint="eastAsia" w:ascii="仿宋" w:hAnsi="仿宋" w:eastAsia="仿宋"/>
          <w:sz w:val="30"/>
          <w:szCs w:val="30"/>
        </w:rPr>
        <w:t>（十五）负责</w:t>
      </w:r>
      <w:r>
        <w:rPr>
          <w:rFonts w:ascii="仿宋" w:hAnsi="仿宋" w:eastAsia="仿宋"/>
          <w:sz w:val="30"/>
          <w:szCs w:val="30"/>
        </w:rPr>
        <w:t>全区大数据产业发展工作。</w:t>
      </w:r>
    </w:p>
    <w:p w14:paraId="464F4A2E">
      <w:pPr>
        <w:ind w:firstLine="600" w:firstLineChars="200"/>
        <w:rPr>
          <w:rFonts w:ascii="仿宋" w:hAnsi="仿宋" w:eastAsia="仿宋" w:cs="宋体"/>
          <w:color w:val="000000"/>
          <w:kern w:val="0"/>
          <w:sz w:val="30"/>
          <w:szCs w:val="30"/>
        </w:rPr>
      </w:pPr>
      <w:r>
        <w:rPr>
          <w:rFonts w:hint="eastAsia" w:ascii="仿宋" w:hAnsi="仿宋" w:eastAsia="仿宋"/>
          <w:sz w:val="30"/>
          <w:szCs w:val="30"/>
        </w:rPr>
        <w:t>（十六）</w:t>
      </w:r>
      <w:r>
        <w:rPr>
          <w:rFonts w:hint="eastAsia" w:ascii="仿宋" w:hAnsi="仿宋" w:eastAsia="仿宋" w:cs="宋体"/>
          <w:color w:val="000000"/>
          <w:kern w:val="0"/>
          <w:sz w:val="30"/>
          <w:szCs w:val="30"/>
        </w:rPr>
        <w:t>贯彻执行国家的基本统计制度、统计标准和统计指标体系；组织领导和协调全区统计工作；拟定全区统计发展规划、基本统计制度；依法开展统计监督检查工作；统一核定、管理、发布全区性基本统计资料，定期发布全区国民经济和社会发展情况的统计信息。</w:t>
      </w:r>
    </w:p>
    <w:p w14:paraId="1174F3B4">
      <w:pPr>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十七）贯彻落实中央、省市有关改革工作部署要求，组织开展全面深化改革重大问题的研究，拟定改革规划和年度工作要点，起草年度总结报告；协调解决重大问题，编发和上报重要改革信息；负责督促检查各地区、各部门、各单位贯彻落实中央和省市重大改革部署情况，对全区出台的重要改革举措和改革试点开展专项督察；建立健全改革工作考核评价和问责机制；负责筹备市委改革委会议，起草领导讲话，协调各专项小组制定重要改革方案，组织推进重要改革事项；对全区出台的重要改革举措和改革试点形成督察报告。</w:t>
      </w:r>
    </w:p>
    <w:p w14:paraId="483FAC5C">
      <w:pPr>
        <w:ind w:firstLine="600" w:firstLineChars="200"/>
        <w:rPr>
          <w:rFonts w:ascii="仿宋" w:hAnsi="仿宋" w:eastAsia="仿宋"/>
          <w:sz w:val="30"/>
          <w:szCs w:val="30"/>
        </w:rPr>
      </w:pPr>
      <w:r>
        <w:rPr>
          <w:rFonts w:hint="eastAsia" w:ascii="仿宋" w:hAnsi="仿宋" w:eastAsia="仿宋"/>
          <w:sz w:val="30"/>
          <w:szCs w:val="30"/>
        </w:rPr>
        <w:t>（十八）贯彻落实中央军民融合发展和改革方针、政策、规定，综合协调军民融合发展工作。</w:t>
      </w:r>
    </w:p>
    <w:p w14:paraId="5AABB256">
      <w:pPr>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十九）贯彻执行上级工业和信息产业发展的方针、政策和法律、法规、规章；组织编制全区工业和信息产业发展中长期规划和年度计划并组织实施；落实工业和信息产业技术创新工作，指导各级各类工业和信息产业计划项目申报。负责全区工业和信息行业管理，监测分析运行态势和发展趋势，协调解决有关问题并提出政策建议。负责指导全区技术改造项目备案工作。负责指导全区中小企业创新发展工作。</w:t>
      </w:r>
    </w:p>
    <w:p w14:paraId="61D55CAD">
      <w:pPr>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二十）贯彻执行各级能源节约和资源综合利用、清洁生产政策；负责组织节能新产品、新技术、新设备、新材料的推广应用；负责企业用能评估及节能监察工作。负责对电力、煤炭行业依法进行行政管理和监督。</w:t>
      </w:r>
    </w:p>
    <w:p w14:paraId="4F957FE7">
      <w:pPr>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二十一）分析商贸流通领域宏观运行情况，组织调查研究全区商贸流通领域的重要问题并提出政策建议，推进城乡市场协调发展，推进流通产业结构调整，市场秩序管理，“菜篮子”工程等商贸流通相关工作；负责肉、糖、粮食等重要商品的储备管理和应急保障，粮食流通管理、统计、组织协调粮食流通市场体系建设；承担餐饮、住宿、洗染、洗浴、家庭服务、美容美发、人像摄影、家电维修等生活性服务业的行业管理；二手车流通、再生资源回收、节能减排等特业管理工作。</w:t>
      </w:r>
    </w:p>
    <w:p w14:paraId="1BD8623D">
      <w:pPr>
        <w:ind w:firstLine="600" w:firstLineChars="200"/>
        <w:rPr>
          <w:rFonts w:ascii="仿宋" w:hAnsi="仿宋" w:eastAsia="仿宋"/>
          <w:sz w:val="30"/>
          <w:szCs w:val="30"/>
        </w:rPr>
      </w:pPr>
      <w:r>
        <w:rPr>
          <w:rFonts w:ascii="仿宋" w:hAnsi="仿宋" w:eastAsia="仿宋"/>
          <w:sz w:val="30"/>
          <w:szCs w:val="30"/>
        </w:rPr>
        <w:t>（</w:t>
      </w:r>
      <w:r>
        <w:rPr>
          <w:rFonts w:hint="eastAsia" w:ascii="仿宋" w:hAnsi="仿宋" w:eastAsia="仿宋"/>
          <w:sz w:val="30"/>
          <w:szCs w:val="30"/>
        </w:rPr>
        <w:t>二十二</w:t>
      </w:r>
      <w:r>
        <w:rPr>
          <w:rFonts w:ascii="仿宋" w:hAnsi="仿宋" w:eastAsia="仿宋"/>
          <w:sz w:val="30"/>
          <w:szCs w:val="30"/>
        </w:rPr>
        <w:t>）</w:t>
      </w:r>
      <w:r>
        <w:rPr>
          <w:rFonts w:hint="eastAsia" w:ascii="仿宋" w:hAnsi="仿宋" w:eastAsia="仿宋"/>
          <w:sz w:val="30"/>
          <w:szCs w:val="30"/>
        </w:rPr>
        <w:t>完成区</w:t>
      </w:r>
      <w:r>
        <w:rPr>
          <w:rFonts w:ascii="仿宋" w:hAnsi="仿宋" w:eastAsia="仿宋"/>
          <w:sz w:val="30"/>
          <w:szCs w:val="30"/>
        </w:rPr>
        <w:t>党工委</w:t>
      </w:r>
      <w:r>
        <w:rPr>
          <w:rFonts w:hint="eastAsia" w:ascii="仿宋" w:hAnsi="仿宋" w:eastAsia="仿宋"/>
          <w:sz w:val="30"/>
          <w:szCs w:val="30"/>
        </w:rPr>
        <w:t>、</w:t>
      </w:r>
      <w:r>
        <w:rPr>
          <w:rFonts w:ascii="仿宋" w:hAnsi="仿宋" w:eastAsia="仿宋"/>
          <w:sz w:val="30"/>
          <w:szCs w:val="30"/>
        </w:rPr>
        <w:t>管委会交办的其他</w:t>
      </w:r>
      <w:r>
        <w:rPr>
          <w:rFonts w:hint="eastAsia" w:ascii="仿宋" w:hAnsi="仿宋" w:eastAsia="仿宋"/>
          <w:sz w:val="30"/>
          <w:szCs w:val="30"/>
        </w:rPr>
        <w:t>工作。</w:t>
      </w:r>
    </w:p>
    <w:p w14:paraId="647E902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D544F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1年</w:t>
      </w:r>
      <w:r>
        <w:rPr>
          <w:rFonts w:hint="eastAsia" w:ascii="仿宋" w:hAnsi="仿宋" w:eastAsia="仿宋" w:cs="仿宋"/>
          <w:bCs/>
          <w:sz w:val="30"/>
          <w:szCs w:val="30"/>
        </w:rPr>
        <w:t>经济发展局(统计局)</w:t>
      </w:r>
      <w:r>
        <w:rPr>
          <w:rFonts w:hint="eastAsia" w:ascii="仿宋" w:hAnsi="仿宋" w:eastAsia="仿宋" w:cs="仿宋"/>
          <w:color w:val="000000"/>
          <w:kern w:val="0"/>
          <w:sz w:val="30"/>
          <w:szCs w:val="30"/>
        </w:rPr>
        <w:t>部门预算为本部综合收支计划，无二级单位。</w:t>
      </w:r>
    </w:p>
    <w:p w14:paraId="4827927B">
      <w:pPr>
        <w:widowControl/>
        <w:spacing w:line="330" w:lineRule="atLeast"/>
        <w:ind w:firstLine="600" w:firstLineChars="200"/>
        <w:jc w:val="left"/>
        <w:rPr>
          <w:rFonts w:ascii="仿宋" w:hAnsi="仿宋" w:eastAsia="仿宋" w:cs="仿宋"/>
          <w:color w:val="000000"/>
          <w:kern w:val="0"/>
          <w:sz w:val="30"/>
          <w:szCs w:val="30"/>
        </w:rPr>
      </w:pPr>
    </w:p>
    <w:p w14:paraId="6C13BB3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B61F81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AE1A86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按照综合预算的原则，本部门所有收入和支出均纳入部门预算管理，无下级预算单位。收入包括：财政拨款收入1220.3万元；支出包括：工资福利和对个人家庭补助支出717.3万元，</w:t>
      </w:r>
      <w:r>
        <w:rPr>
          <w:rFonts w:hint="eastAsia" w:ascii="仿宋" w:hAnsi="仿宋" w:eastAsia="仿宋" w:cs="仿宋"/>
          <w:sz w:val="30"/>
          <w:szCs w:val="30"/>
        </w:rPr>
        <w:t>商品和服务支出</w:t>
      </w:r>
      <w:r>
        <w:rPr>
          <w:rFonts w:hint="eastAsia" w:ascii="仿宋" w:hAnsi="仿宋" w:eastAsia="仿宋" w:cs="仿宋"/>
          <w:color w:val="000000"/>
          <w:kern w:val="0"/>
          <w:sz w:val="30"/>
          <w:szCs w:val="30"/>
        </w:rPr>
        <w:t>503万</w:t>
      </w:r>
      <w:r>
        <w:rPr>
          <w:rFonts w:hint="eastAsia" w:ascii="仿宋" w:hAnsi="仿宋" w:eastAsia="仿宋" w:cs="仿宋"/>
          <w:sz w:val="30"/>
          <w:szCs w:val="30"/>
        </w:rPr>
        <w:t>元。</w:t>
      </w:r>
      <w:r>
        <w:rPr>
          <w:rFonts w:hint="eastAsia" w:ascii="仿宋" w:hAnsi="仿宋" w:eastAsia="仿宋" w:cs="仿宋"/>
          <w:color w:val="000000"/>
          <w:kern w:val="0"/>
          <w:sz w:val="30"/>
          <w:szCs w:val="30"/>
        </w:rPr>
        <w:t>全部为一般公共预算收支，无政府性基金预算收支,</w:t>
      </w:r>
      <w:r>
        <w:rPr>
          <w:rFonts w:hint="eastAsia" w:ascii="仿宋" w:hAnsi="仿宋" w:eastAsia="仿宋" w:cs="仿宋"/>
          <w:kern w:val="0"/>
          <w:sz w:val="30"/>
          <w:szCs w:val="30"/>
        </w:rPr>
        <w:t>无国有资本经营预算收支</w:t>
      </w:r>
      <w:r>
        <w:rPr>
          <w:rFonts w:hint="eastAsia" w:ascii="仿宋" w:hAnsi="仿宋" w:eastAsia="仿宋" w:cs="仿宋"/>
          <w:color w:val="000000"/>
          <w:kern w:val="0"/>
          <w:sz w:val="30"/>
          <w:szCs w:val="30"/>
        </w:rPr>
        <w:t>。比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20年预算数增加844.6万元，其中工资福利和对个人家庭补助支出增加717.3万元，</w:t>
      </w:r>
      <w:r>
        <w:rPr>
          <w:rFonts w:hint="eastAsia" w:ascii="仿宋" w:hAnsi="仿宋" w:eastAsia="仿宋" w:cs="仿宋"/>
          <w:sz w:val="30"/>
          <w:szCs w:val="30"/>
        </w:rPr>
        <w:t>商品和服务支出</w:t>
      </w:r>
      <w:r>
        <w:rPr>
          <w:rFonts w:hint="eastAsia" w:ascii="仿宋" w:hAnsi="仿宋" w:eastAsia="仿宋" w:cs="仿宋"/>
          <w:color w:val="000000"/>
          <w:kern w:val="0"/>
          <w:sz w:val="30"/>
          <w:szCs w:val="30"/>
        </w:rPr>
        <w:t>增加127.3万</w:t>
      </w:r>
      <w:r>
        <w:rPr>
          <w:rFonts w:hint="eastAsia" w:ascii="仿宋" w:hAnsi="仿宋" w:eastAsia="仿宋" w:cs="仿宋"/>
          <w:sz w:val="30"/>
          <w:szCs w:val="30"/>
        </w:rPr>
        <w:t>元。</w:t>
      </w:r>
    </w:p>
    <w:p w14:paraId="406401F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7DA78C1">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7688AFE">
      <w:pPr>
        <w:widowControl/>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三、机关运行经费安排情况说明</w:t>
      </w:r>
    </w:p>
    <w:p w14:paraId="31EE3FF5">
      <w:pPr>
        <w:widowControl/>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机关运行经费包括定额公用经费14.8万元。比上年增加9.1万元，主要是机构改革，人员增加。</w:t>
      </w:r>
    </w:p>
    <w:p w14:paraId="685C6D2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85A064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大数据平台（一期）建设240万元；项目审计费20万元。</w:t>
      </w:r>
    </w:p>
    <w:p w14:paraId="172D402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F34242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ABB2CC1">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14:paraId="3FB2457E">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国有资产占有使用情况说明为：截至2020年12月31日，部门（单位）共有车辆0辆；单位价值50万元（含）以上通用设备0台（套）；单位价值100万元以上专用设备0台（套）。</w:t>
      </w:r>
    </w:p>
    <w:p w14:paraId="2582DF1D">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608CE28D">
      <w:pPr>
        <w:ind w:firstLine="600" w:firstLineChars="200"/>
        <w:rPr>
          <w:rFonts w:ascii="仿宋" w:hAnsi="仿宋" w:eastAsia="仿宋" w:cs="仿宋"/>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21年，按照“先有绩效，后有预算”原则，本部门共计编制绩效目标7个，预算金额441.1万元，占项目支出预算比重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6AD6C2DA">
      <w:pPr>
        <w:ind w:firstLine="600" w:firstLineChars="200"/>
        <w:rPr>
          <w:rFonts w:ascii="仿宋" w:hAnsi="仿宋" w:eastAsia="仿宋" w:cs="仿宋"/>
          <w:color w:val="FF0000"/>
          <w:kern w:val="0"/>
          <w:sz w:val="30"/>
          <w:szCs w:val="30"/>
        </w:rPr>
      </w:pPr>
      <w:r>
        <w:rPr>
          <w:rFonts w:hint="eastAsia" w:ascii="仿宋" w:hAnsi="仿宋" w:eastAsia="仿宋" w:cs="仿宋"/>
          <w:color w:val="000000"/>
          <w:kern w:val="0"/>
          <w:sz w:val="30"/>
          <w:szCs w:val="30"/>
        </w:rPr>
        <w:t>八、</w:t>
      </w:r>
      <w:r>
        <w:rPr>
          <w:rFonts w:hint="eastAsia" w:ascii="仿宋" w:hAnsi="仿宋" w:eastAsia="仿宋" w:cs="宋体"/>
          <w:color w:val="000000"/>
          <w:kern w:val="0"/>
          <w:sz w:val="30"/>
          <w:szCs w:val="30"/>
        </w:rPr>
        <w:t>高新区推动数字经济三年行动方案项目</w:t>
      </w:r>
      <w:r>
        <w:rPr>
          <w:rFonts w:hint="eastAsia" w:ascii="仿宋" w:hAnsi="仿宋" w:eastAsia="仿宋"/>
          <w:sz w:val="32"/>
          <w:szCs w:val="32"/>
        </w:rPr>
        <w:t>经费</w:t>
      </w:r>
      <w:r>
        <w:rPr>
          <w:rFonts w:hint="eastAsia" w:ascii="仿宋" w:hAnsi="仿宋" w:eastAsia="仿宋" w:cs="仿宋"/>
          <w:color w:val="000000"/>
          <w:kern w:val="0"/>
          <w:sz w:val="30"/>
          <w:szCs w:val="30"/>
        </w:rPr>
        <w:t>项目情况</w:t>
      </w:r>
    </w:p>
    <w:p w14:paraId="22D9A8E4">
      <w:pPr>
        <w:spacing w:line="600" w:lineRule="exact"/>
        <w:ind w:left="64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3DDBD4DE">
      <w:pPr>
        <w:spacing w:line="600" w:lineRule="exact"/>
        <w:ind w:firstLine="600" w:firstLineChars="200"/>
        <w:rPr>
          <w:rFonts w:ascii="仿宋" w:hAnsi="仿宋" w:eastAsia="仿宋"/>
          <w:sz w:val="30"/>
          <w:szCs w:val="30"/>
        </w:rPr>
      </w:pPr>
      <w:r>
        <w:rPr>
          <w:rFonts w:hint="eastAsia" w:ascii="仿宋" w:hAnsi="仿宋" w:eastAsia="仿宋"/>
          <w:sz w:val="30"/>
          <w:szCs w:val="30"/>
        </w:rPr>
        <w:t>《高新区推动数字经济三年行动方案项目》将围绕高新区数字经济发展，在数字产业化、产业数字化、治理数字化三个方面，明确未来三年的工作思路和发展目标、部署主要任务，制定保障措施。</w:t>
      </w:r>
    </w:p>
    <w:p w14:paraId="284F3EF0">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3D7DFF65">
      <w:pPr>
        <w:spacing w:line="600" w:lineRule="exact"/>
        <w:ind w:firstLine="600" w:firstLineChars="200"/>
        <w:rPr>
          <w:rFonts w:ascii="仿宋" w:hAnsi="仿宋" w:eastAsia="仿宋"/>
          <w:sz w:val="30"/>
          <w:szCs w:val="30"/>
        </w:rPr>
      </w:pPr>
      <w:r>
        <w:rPr>
          <w:rFonts w:hint="eastAsia" w:ascii="仿宋" w:hAnsi="仿宋" w:eastAsia="仿宋"/>
          <w:sz w:val="30"/>
          <w:szCs w:val="30"/>
        </w:rPr>
        <w:t>辽宁省和大连市都非常重视数字经济发展工作，省委十二届十四次全会明确了关于“十四五”期间发挥好“数字辽宁”“制造强省”的巨大潜能，在寻求突破中找准关键点的部署。省政府公布《数字辽宁发展规划(1.0版)》，明确指出“到2025年数字辽宁建设体系基本形成”的发展目标。大连市也陆续出台“数字经济发展”、“数字大连”、“大数据产业”、“5G发展和网络布局”等相关规划，及“促进数字经济发展行动方案” 和“新基建行动方案”等文件。委领导都非常重视此项工作，召开了专题会议，指出大连市委、市政府非常重视数字经济工作，把它作为促进大连经济转型发展的重要抓手，而高新区又是大连市数据经济发展的核心区，一定要先行先试，做出成绩和经验，在大连市发挥很好的带领和引导作用。并同意聘请第三方服务机构编制具体的行动方案。</w:t>
      </w:r>
    </w:p>
    <w:p w14:paraId="0DD8FC3A">
      <w:pPr>
        <w:spacing w:line="60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3906B2AB">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项目具体组织实施的部门为高新区经济发展局发展规划科。</w:t>
      </w:r>
    </w:p>
    <w:p w14:paraId="0A37DC4F">
      <w:pPr>
        <w:spacing w:line="600" w:lineRule="exact"/>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0CCCEDF9">
      <w:pPr>
        <w:spacing w:line="600" w:lineRule="exact"/>
        <w:ind w:firstLine="600" w:firstLineChars="200"/>
        <w:outlineLvl w:val="0"/>
        <w:rPr>
          <w:rFonts w:ascii="仿宋" w:hAnsi="仿宋" w:eastAsia="仿宋" w:cs="仿宋_GB2312"/>
          <w:color w:val="333333"/>
          <w:sz w:val="30"/>
          <w:szCs w:val="30"/>
        </w:rPr>
      </w:pPr>
      <w:r>
        <w:rPr>
          <w:rFonts w:hint="eastAsia" w:ascii="仿宋" w:hAnsi="仿宋" w:eastAsia="仿宋" w:cs="仿宋"/>
          <w:color w:val="000000"/>
          <w:kern w:val="0"/>
          <w:sz w:val="30"/>
          <w:szCs w:val="30"/>
        </w:rPr>
        <w:t>包括企业调研，方案编制、征求意见和管委会通过实施四个阶段</w:t>
      </w:r>
      <w:r>
        <w:rPr>
          <w:rFonts w:hint="eastAsia" w:ascii="仿宋" w:hAnsi="仿宋" w:eastAsia="仿宋" w:cs="仿宋_GB2312"/>
          <w:color w:val="333333"/>
          <w:sz w:val="30"/>
          <w:szCs w:val="30"/>
        </w:rPr>
        <w:t>。</w:t>
      </w:r>
    </w:p>
    <w:p w14:paraId="01A21A84">
      <w:pPr>
        <w:spacing w:line="600" w:lineRule="exact"/>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步骤和计划</w:t>
      </w:r>
    </w:p>
    <w:p w14:paraId="11CAB243">
      <w:pPr>
        <w:numPr>
          <w:ilvl w:val="0"/>
          <w:numId w:val="1"/>
        </w:numPr>
        <w:spacing w:line="600" w:lineRule="exact"/>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制定工作安排</w:t>
      </w:r>
    </w:p>
    <w:p w14:paraId="24BE97FA">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制定详细的工作计划，按时间节点稳步推进，确保年度各项工作有条不紊地开展。</w:t>
      </w:r>
    </w:p>
    <w:p w14:paraId="2E9F69EC">
      <w:pPr>
        <w:spacing w:line="600" w:lineRule="exact"/>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（2）规范资金预算编制及使用</w:t>
      </w:r>
    </w:p>
    <w:p w14:paraId="2735B470">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一是严格按照部门申请、财政审核的程序，填报专项资金预算表、专项资金绩效目标表，明确申请项目的内容和金额、实施方案、绩效目标等。</w:t>
      </w:r>
    </w:p>
    <w:p w14:paraId="6A054619">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二是实行专款专用，明确专项资金期限，对于功能弱化、绩效不佳的专项资金，要及时予以调整或取消。</w:t>
      </w:r>
    </w:p>
    <w:p w14:paraId="6FA1177E">
      <w:pPr>
        <w:spacing w:line="600" w:lineRule="exact"/>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（3）组织项目实施</w:t>
      </w:r>
    </w:p>
    <w:p w14:paraId="2EA84E60">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按照指定的工作计划，推动各项工作开展。</w:t>
      </w:r>
    </w:p>
    <w:p w14:paraId="398CE000">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2C0B38BE">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项目起止时间为2021年1月1日到2021年4月。</w:t>
      </w:r>
    </w:p>
    <w:p w14:paraId="3A8C8BB3">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701F361B">
      <w:pPr>
        <w:spacing w:line="600" w:lineRule="exact"/>
        <w:ind w:firstLine="600" w:firstLineChars="200"/>
        <w:rPr>
          <w:rFonts w:ascii="仿宋" w:hAnsi="仿宋" w:eastAsia="仿宋"/>
          <w:sz w:val="30"/>
          <w:szCs w:val="30"/>
        </w:rPr>
      </w:pPr>
      <w:r>
        <w:rPr>
          <w:rFonts w:hint="eastAsia" w:ascii="仿宋" w:hAnsi="仿宋" w:eastAsia="仿宋" w:cs="仿宋"/>
          <w:color w:val="000000"/>
          <w:kern w:val="0"/>
          <w:sz w:val="30"/>
          <w:szCs w:val="30"/>
        </w:rPr>
        <w:t>2021年拟安排该项目一般公共预算8万元。</w:t>
      </w:r>
    </w:p>
    <w:p w14:paraId="5333554C">
      <w:pPr>
        <w:widowControl/>
        <w:spacing w:line="330" w:lineRule="atLeast"/>
        <w:ind w:firstLine="600" w:firstLineChars="200"/>
        <w:jc w:val="left"/>
        <w:rPr>
          <w:rFonts w:ascii="仿宋" w:hAnsi="仿宋" w:eastAsia="仿宋" w:cs="仿宋"/>
          <w:color w:val="000000"/>
          <w:kern w:val="0"/>
          <w:sz w:val="30"/>
          <w:szCs w:val="30"/>
        </w:rPr>
      </w:pPr>
    </w:p>
    <w:p w14:paraId="7186BFB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6E5D41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87C2B0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A0F059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B14DFE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5399D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772E16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2D7204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63BA83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A3922E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C47208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A5FD5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55252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3EF7CA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451895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CFCB1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E985D3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6757F3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2C613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422253F">
      <w:pPr>
        <w:widowControl/>
        <w:spacing w:line="330" w:lineRule="atLeast"/>
        <w:ind w:firstLine="600" w:firstLineChars="200"/>
        <w:jc w:val="left"/>
        <w:rPr>
          <w:rFonts w:ascii="仿宋" w:hAnsi="仿宋" w:eastAsia="仿宋" w:cs="仿宋"/>
          <w:color w:val="000000"/>
          <w:kern w:val="0"/>
          <w:sz w:val="30"/>
          <w:szCs w:val="30"/>
        </w:rPr>
      </w:pPr>
    </w:p>
    <w:p w14:paraId="0CD4761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895050"/>
    <w:multiLevelType w:val="singleLevel"/>
    <w:tmpl w:val="2889505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18C2"/>
    <w:rsid w:val="000130C2"/>
    <w:rsid w:val="00015624"/>
    <w:rsid w:val="000315FE"/>
    <w:rsid w:val="0003493C"/>
    <w:rsid w:val="00041D0A"/>
    <w:rsid w:val="000556F9"/>
    <w:rsid w:val="00086446"/>
    <w:rsid w:val="000A55C1"/>
    <w:rsid w:val="00101BE5"/>
    <w:rsid w:val="00104AD4"/>
    <w:rsid w:val="0010550E"/>
    <w:rsid w:val="00117A5A"/>
    <w:rsid w:val="00135B9D"/>
    <w:rsid w:val="00137209"/>
    <w:rsid w:val="00164A2E"/>
    <w:rsid w:val="00165857"/>
    <w:rsid w:val="00187190"/>
    <w:rsid w:val="001961A4"/>
    <w:rsid w:val="001D53F4"/>
    <w:rsid w:val="001E371F"/>
    <w:rsid w:val="001E3E93"/>
    <w:rsid w:val="0023550E"/>
    <w:rsid w:val="00264775"/>
    <w:rsid w:val="00265F8B"/>
    <w:rsid w:val="003003AA"/>
    <w:rsid w:val="003009E5"/>
    <w:rsid w:val="003141F8"/>
    <w:rsid w:val="003270AA"/>
    <w:rsid w:val="003305AF"/>
    <w:rsid w:val="00333CB2"/>
    <w:rsid w:val="00340986"/>
    <w:rsid w:val="00342DA2"/>
    <w:rsid w:val="00382A3E"/>
    <w:rsid w:val="003934DB"/>
    <w:rsid w:val="003B50ED"/>
    <w:rsid w:val="003C65CD"/>
    <w:rsid w:val="003E61DA"/>
    <w:rsid w:val="003F2AA1"/>
    <w:rsid w:val="003F4DFF"/>
    <w:rsid w:val="00415B38"/>
    <w:rsid w:val="004221E9"/>
    <w:rsid w:val="00454515"/>
    <w:rsid w:val="004965A3"/>
    <w:rsid w:val="004E29A3"/>
    <w:rsid w:val="00526036"/>
    <w:rsid w:val="00531117"/>
    <w:rsid w:val="00533F19"/>
    <w:rsid w:val="00584A6A"/>
    <w:rsid w:val="00594FB5"/>
    <w:rsid w:val="005A04CC"/>
    <w:rsid w:val="005A618F"/>
    <w:rsid w:val="005D023C"/>
    <w:rsid w:val="005D3F71"/>
    <w:rsid w:val="005F4DCC"/>
    <w:rsid w:val="00603118"/>
    <w:rsid w:val="00610F94"/>
    <w:rsid w:val="00614500"/>
    <w:rsid w:val="006541E5"/>
    <w:rsid w:val="0066675F"/>
    <w:rsid w:val="006825F4"/>
    <w:rsid w:val="006976D6"/>
    <w:rsid w:val="006B65D0"/>
    <w:rsid w:val="006D6DF5"/>
    <w:rsid w:val="00743710"/>
    <w:rsid w:val="00745BE2"/>
    <w:rsid w:val="00753345"/>
    <w:rsid w:val="00753F26"/>
    <w:rsid w:val="00755C7B"/>
    <w:rsid w:val="007805EB"/>
    <w:rsid w:val="00793572"/>
    <w:rsid w:val="007B12D0"/>
    <w:rsid w:val="007C5E3C"/>
    <w:rsid w:val="007D241C"/>
    <w:rsid w:val="007F23D9"/>
    <w:rsid w:val="00807D4E"/>
    <w:rsid w:val="008149FE"/>
    <w:rsid w:val="008207A6"/>
    <w:rsid w:val="00826E6F"/>
    <w:rsid w:val="008620BC"/>
    <w:rsid w:val="008641D1"/>
    <w:rsid w:val="00871496"/>
    <w:rsid w:val="008B01B8"/>
    <w:rsid w:val="008D70E0"/>
    <w:rsid w:val="008E6264"/>
    <w:rsid w:val="009244A6"/>
    <w:rsid w:val="00931FA6"/>
    <w:rsid w:val="00941B10"/>
    <w:rsid w:val="00961681"/>
    <w:rsid w:val="009652AA"/>
    <w:rsid w:val="009848F0"/>
    <w:rsid w:val="009B0D53"/>
    <w:rsid w:val="009C0A42"/>
    <w:rsid w:val="009F1015"/>
    <w:rsid w:val="009F229D"/>
    <w:rsid w:val="00A1264F"/>
    <w:rsid w:val="00A12672"/>
    <w:rsid w:val="00A150E4"/>
    <w:rsid w:val="00A24FC7"/>
    <w:rsid w:val="00A26A44"/>
    <w:rsid w:val="00A377FD"/>
    <w:rsid w:val="00A5549A"/>
    <w:rsid w:val="00A700C1"/>
    <w:rsid w:val="00A70656"/>
    <w:rsid w:val="00A71280"/>
    <w:rsid w:val="00A7639E"/>
    <w:rsid w:val="00A924A6"/>
    <w:rsid w:val="00AB38C8"/>
    <w:rsid w:val="00AD1AA3"/>
    <w:rsid w:val="00AE5350"/>
    <w:rsid w:val="00AE6458"/>
    <w:rsid w:val="00B217F1"/>
    <w:rsid w:val="00B40E6C"/>
    <w:rsid w:val="00B63F7A"/>
    <w:rsid w:val="00B802BE"/>
    <w:rsid w:val="00BB099A"/>
    <w:rsid w:val="00BB4891"/>
    <w:rsid w:val="00BB4BC4"/>
    <w:rsid w:val="00BC5575"/>
    <w:rsid w:val="00BD3ADA"/>
    <w:rsid w:val="00C052C0"/>
    <w:rsid w:val="00C67479"/>
    <w:rsid w:val="00C67F72"/>
    <w:rsid w:val="00CD573D"/>
    <w:rsid w:val="00CF43DA"/>
    <w:rsid w:val="00D10236"/>
    <w:rsid w:val="00D176CA"/>
    <w:rsid w:val="00D400F0"/>
    <w:rsid w:val="00D62449"/>
    <w:rsid w:val="00D82E50"/>
    <w:rsid w:val="00DB212D"/>
    <w:rsid w:val="00DC1136"/>
    <w:rsid w:val="00DD605A"/>
    <w:rsid w:val="00DD67CE"/>
    <w:rsid w:val="00DE7D26"/>
    <w:rsid w:val="00DF2079"/>
    <w:rsid w:val="00E02F93"/>
    <w:rsid w:val="00E1057B"/>
    <w:rsid w:val="00E160F9"/>
    <w:rsid w:val="00E679E1"/>
    <w:rsid w:val="00E804EF"/>
    <w:rsid w:val="00E840B5"/>
    <w:rsid w:val="00EA15E7"/>
    <w:rsid w:val="00EB6E55"/>
    <w:rsid w:val="00EE134B"/>
    <w:rsid w:val="00EE5E80"/>
    <w:rsid w:val="00F01060"/>
    <w:rsid w:val="00F251AC"/>
    <w:rsid w:val="00F6511A"/>
    <w:rsid w:val="00F66229"/>
    <w:rsid w:val="00F713C4"/>
    <w:rsid w:val="00F76F83"/>
    <w:rsid w:val="00F84309"/>
    <w:rsid w:val="00F94B86"/>
    <w:rsid w:val="00FC5228"/>
    <w:rsid w:val="00FD042E"/>
    <w:rsid w:val="00FD7251"/>
    <w:rsid w:val="0D483DB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0"/>
    <w:pPr>
      <w:ind w:firstLine="320" w:firstLineChars="100"/>
    </w:pPr>
    <w:rPr>
      <w:rFonts w:eastAsia="仿宋_GB2312"/>
      <w:sz w:val="32"/>
      <w:szCs w:val="24"/>
    </w:rPr>
  </w:style>
  <w:style w:type="paragraph" w:styleId="3">
    <w:name w:val="Body Text Indent 2"/>
    <w:basedOn w:val="1"/>
    <w:link w:val="11"/>
    <w:qFormat/>
    <w:uiPriority w:val="0"/>
    <w:pPr>
      <w:ind w:firstLine="624" w:firstLineChars="195"/>
    </w:pPr>
    <w:rPr>
      <w:rFonts w:eastAsia="仿宋_GB2312"/>
      <w:sz w:val="32"/>
      <w:szCs w:val="24"/>
    </w:rPr>
  </w:style>
  <w:style w:type="paragraph" w:styleId="4">
    <w:name w:val="footer"/>
    <w:basedOn w:val="1"/>
    <w:link w:val="9"/>
    <w:semiHidden/>
    <w:uiPriority w:val="99"/>
    <w:pPr>
      <w:tabs>
        <w:tab w:val="center" w:pos="4153"/>
        <w:tab w:val="right" w:pos="8306"/>
      </w:tabs>
      <w:snapToGrid w:val="0"/>
      <w:jc w:val="left"/>
    </w:pPr>
    <w:rPr>
      <w:sz w:val="18"/>
      <w:szCs w:val="18"/>
    </w:rPr>
  </w:style>
  <w:style w:type="paragraph" w:styleId="5">
    <w:name w:val="header"/>
    <w:basedOn w:val="1"/>
    <w:link w:val="8"/>
    <w:semiHidden/>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locked/>
    <w:uiPriority w:val="99"/>
    <w:rPr>
      <w:rFonts w:ascii="Times New Roman" w:hAnsi="Times New Roman" w:eastAsia="宋体" w:cs="Times New Roman"/>
      <w:sz w:val="18"/>
      <w:szCs w:val="18"/>
    </w:rPr>
  </w:style>
  <w:style w:type="character" w:customStyle="1" w:styleId="9">
    <w:name w:val="页脚 Char"/>
    <w:basedOn w:val="7"/>
    <w:link w:val="4"/>
    <w:semiHidden/>
    <w:locked/>
    <w:uiPriority w:val="99"/>
    <w:rPr>
      <w:rFonts w:ascii="Times New Roman" w:hAnsi="Times New Roman" w:eastAsia="宋体" w:cs="Times New Roman"/>
      <w:sz w:val="18"/>
      <w:szCs w:val="18"/>
    </w:rPr>
  </w:style>
  <w:style w:type="character" w:customStyle="1" w:styleId="10">
    <w:name w:val="正文文本缩进 Char"/>
    <w:basedOn w:val="7"/>
    <w:link w:val="2"/>
    <w:uiPriority w:val="0"/>
    <w:rPr>
      <w:rFonts w:ascii="Times New Roman" w:hAnsi="Times New Roman" w:eastAsia="仿宋_GB2312"/>
      <w:kern w:val="2"/>
      <w:sz w:val="32"/>
      <w:szCs w:val="24"/>
    </w:rPr>
  </w:style>
  <w:style w:type="character" w:customStyle="1" w:styleId="11">
    <w:name w:val="正文文本缩进 2 Char"/>
    <w:basedOn w:val="7"/>
    <w:link w:val="3"/>
    <w:uiPriority w:val="0"/>
    <w:rPr>
      <w:rFonts w:ascii="Times New Roman" w:hAnsi="Times New Roman" w:eastAsia="仿宋_GB2312"/>
      <w:kern w:val="2"/>
      <w:sz w:val="32"/>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4612</Words>
  <Characters>4721</Characters>
  <Lines>36</Lines>
  <Paragraphs>10</Paragraphs>
  <TotalTime>79</TotalTime>
  <ScaleCrop>false</ScaleCrop>
  <LinksUpToDate>false</LinksUpToDate>
  <CharactersWithSpaces>4990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2025-12-25T09:24:45Z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FD20D4816DD84BB8849DB1FAF3828DD5_12</vt:lpwstr>
  </property>
</Properties>
</file>