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C996F">
      <w:pPr>
        <w:spacing w:line="600" w:lineRule="exact"/>
        <w:rPr>
          <w:rFonts w:ascii="仿宋_GB2312" w:eastAsia="仿宋_GB2312"/>
          <w:sz w:val="36"/>
          <w:szCs w:val="36"/>
        </w:rPr>
      </w:pPr>
      <w:bookmarkStart w:id="0" w:name="_GoBack"/>
      <w:bookmarkEnd w:id="0"/>
    </w:p>
    <w:p w14:paraId="07C31FAC">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高新区科技创新局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72B7B4A8">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726EE4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3A0C73C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FC6F39C">
      <w:pPr>
        <w:spacing w:line="580" w:lineRule="exact"/>
        <w:ind w:firstLine="588" w:firstLineChars="196"/>
        <w:rPr>
          <w:rFonts w:ascii="仿宋" w:hAnsi="仿宋" w:eastAsia="仿宋"/>
          <w:sz w:val="30"/>
          <w:szCs w:val="30"/>
        </w:rPr>
      </w:pPr>
      <w:r>
        <w:rPr>
          <w:rFonts w:hint="eastAsia" w:ascii="仿宋" w:hAnsi="仿宋" w:eastAsia="仿宋"/>
          <w:sz w:val="30"/>
          <w:szCs w:val="30"/>
        </w:rPr>
        <w:t>（一）负责编制全区科技发展规划，拟定科技发展重点布局，推动科技创新体系建设和国家自主创新示范区建设，提高区域科技创新能力。</w:t>
      </w:r>
    </w:p>
    <w:p w14:paraId="19BFA86C">
      <w:pPr>
        <w:spacing w:line="580" w:lineRule="exact"/>
        <w:ind w:firstLine="588" w:firstLineChars="196"/>
        <w:rPr>
          <w:rFonts w:ascii="仿宋" w:hAnsi="仿宋" w:eastAsia="仿宋"/>
          <w:sz w:val="30"/>
          <w:szCs w:val="30"/>
        </w:rPr>
      </w:pPr>
      <w:r>
        <w:rPr>
          <w:rFonts w:hint="eastAsia" w:ascii="仿宋" w:hAnsi="仿宋" w:eastAsia="仿宋"/>
          <w:sz w:val="30"/>
          <w:szCs w:val="30"/>
        </w:rPr>
        <w:t>（二）负责拟定全区重点企业培育计划，建立培育机制，协调落实培育措施，推进重点企业培育工作。负责研究、制定推进高新技术企业、技术先进型企业发展的政策、措施并落实；负责高新技术企业、技术先进型企业推荐申报及管理工作。</w:t>
      </w:r>
    </w:p>
    <w:p w14:paraId="131A4064">
      <w:pPr>
        <w:spacing w:line="580" w:lineRule="exact"/>
        <w:ind w:firstLine="588" w:firstLineChars="196"/>
        <w:rPr>
          <w:rFonts w:ascii="仿宋" w:hAnsi="仿宋" w:eastAsia="仿宋"/>
          <w:sz w:val="30"/>
          <w:szCs w:val="30"/>
        </w:rPr>
      </w:pPr>
      <w:r>
        <w:rPr>
          <w:rFonts w:hint="eastAsia" w:ascii="仿宋" w:hAnsi="仿宋" w:eastAsia="仿宋"/>
          <w:sz w:val="30"/>
          <w:szCs w:val="30"/>
        </w:rPr>
        <w:t>（三）指导全区产业技术创新，负责指导全区产业园区与产业基地、公共技术服务平台、产业联盟与行业组织的建设。</w:t>
      </w:r>
    </w:p>
    <w:p w14:paraId="656AA9D1">
      <w:pPr>
        <w:spacing w:line="580" w:lineRule="exact"/>
        <w:ind w:firstLine="588" w:firstLineChars="196"/>
        <w:rPr>
          <w:rFonts w:ascii="仿宋" w:hAnsi="仿宋" w:eastAsia="仿宋"/>
          <w:sz w:val="30"/>
          <w:szCs w:val="30"/>
        </w:rPr>
      </w:pPr>
      <w:r>
        <w:rPr>
          <w:rFonts w:hint="eastAsia" w:ascii="仿宋" w:hAnsi="仿宋" w:eastAsia="仿宋"/>
          <w:sz w:val="30"/>
          <w:szCs w:val="30"/>
        </w:rPr>
        <w:t>（四）负责全区科技成果转移转化体系建设，研究、制定促进科技成果转化的政策措施。</w:t>
      </w:r>
    </w:p>
    <w:p w14:paraId="33705CD2">
      <w:pPr>
        <w:spacing w:line="580" w:lineRule="exact"/>
        <w:ind w:firstLine="588" w:firstLineChars="196"/>
        <w:rPr>
          <w:rFonts w:ascii="仿宋" w:hAnsi="仿宋" w:eastAsia="仿宋"/>
          <w:sz w:val="30"/>
          <w:szCs w:val="30"/>
        </w:rPr>
      </w:pPr>
      <w:r>
        <w:rPr>
          <w:rFonts w:hint="eastAsia" w:ascii="仿宋" w:hAnsi="仿宋" w:eastAsia="仿宋"/>
          <w:sz w:val="30"/>
          <w:szCs w:val="30"/>
        </w:rPr>
        <w:t>（五）负责国家、省、市科技成果转移转化相关政策的跟踪落实。负责高新区“科创工程”等促进科技成果转化相关政策的落地实施。</w:t>
      </w:r>
    </w:p>
    <w:p w14:paraId="73404369">
      <w:pPr>
        <w:spacing w:line="580" w:lineRule="exact"/>
        <w:ind w:firstLine="588" w:firstLineChars="196"/>
        <w:rPr>
          <w:rFonts w:ascii="仿宋" w:hAnsi="仿宋" w:eastAsia="仿宋"/>
          <w:sz w:val="30"/>
          <w:szCs w:val="30"/>
        </w:rPr>
      </w:pPr>
      <w:r>
        <w:rPr>
          <w:rFonts w:hint="eastAsia" w:ascii="仿宋" w:hAnsi="仿宋" w:eastAsia="仿宋"/>
          <w:sz w:val="30"/>
          <w:szCs w:val="30"/>
        </w:rPr>
        <w:t>（六）负责按照全区“区校一体化”战略框架，联系推进区校（院所）科技合作，促进高校和科研院所的科技成果转化。</w:t>
      </w:r>
    </w:p>
    <w:p w14:paraId="487327FA">
      <w:pPr>
        <w:spacing w:line="580" w:lineRule="exact"/>
        <w:ind w:firstLine="588" w:firstLineChars="196"/>
        <w:rPr>
          <w:rFonts w:ascii="仿宋" w:hAnsi="仿宋" w:eastAsia="仿宋"/>
          <w:sz w:val="30"/>
          <w:szCs w:val="30"/>
        </w:rPr>
      </w:pPr>
      <w:r>
        <w:rPr>
          <w:rFonts w:hint="eastAsia" w:ascii="仿宋" w:hAnsi="仿宋" w:eastAsia="仿宋"/>
          <w:sz w:val="30"/>
          <w:szCs w:val="30"/>
        </w:rPr>
        <w:t>（七）负责协调全区重点产学研合作示范项目及重大成果转化活动的落地实施。负责全区科技成果转化、技术转移示范机构的培育和管理，以及技术转移转化平台建设。</w:t>
      </w:r>
    </w:p>
    <w:p w14:paraId="2C4849DE">
      <w:pPr>
        <w:spacing w:line="580" w:lineRule="exact"/>
        <w:ind w:firstLine="588" w:firstLineChars="196"/>
        <w:rPr>
          <w:rFonts w:ascii="仿宋" w:hAnsi="仿宋" w:eastAsia="仿宋"/>
          <w:sz w:val="30"/>
          <w:szCs w:val="30"/>
        </w:rPr>
      </w:pPr>
      <w:r>
        <w:rPr>
          <w:rFonts w:hint="eastAsia" w:ascii="仿宋" w:hAnsi="仿宋" w:eastAsia="仿宋"/>
          <w:sz w:val="30"/>
          <w:szCs w:val="30"/>
        </w:rPr>
        <w:t>（八）负责国家、省、市各类科技计划、科技人才计划组织申报推荐工作；负责重大科技平台建设工作；负责科学技术奖励申报推荐工作；负责培育并扶持全区重点高科技项目。</w:t>
      </w:r>
    </w:p>
    <w:p w14:paraId="58EAD3C2">
      <w:pPr>
        <w:spacing w:line="580" w:lineRule="exact"/>
        <w:ind w:firstLine="588" w:firstLineChars="196"/>
        <w:rPr>
          <w:rFonts w:ascii="仿宋" w:hAnsi="仿宋" w:eastAsia="仿宋"/>
          <w:sz w:val="30"/>
          <w:szCs w:val="30"/>
        </w:rPr>
      </w:pPr>
      <w:r>
        <w:rPr>
          <w:rFonts w:hint="eastAsia" w:ascii="仿宋" w:hAnsi="仿宋" w:eastAsia="仿宋"/>
          <w:sz w:val="30"/>
          <w:szCs w:val="30"/>
        </w:rPr>
        <w:t>（九）负责各类技术研发机构的建设、管理和推进工作；负责研究、制定推进科技创新创业的政策并落实；负责研究、制定推进科技创新劵的政策并落实。</w:t>
      </w:r>
    </w:p>
    <w:p w14:paraId="01793C75">
      <w:pPr>
        <w:spacing w:line="580" w:lineRule="exact"/>
        <w:ind w:firstLine="588" w:firstLineChars="196"/>
        <w:rPr>
          <w:rFonts w:ascii="仿宋" w:hAnsi="仿宋" w:eastAsia="仿宋"/>
          <w:sz w:val="30"/>
          <w:szCs w:val="30"/>
        </w:rPr>
      </w:pPr>
      <w:r>
        <w:rPr>
          <w:rFonts w:hint="eastAsia" w:ascii="仿宋" w:hAnsi="仿宋" w:eastAsia="仿宋"/>
          <w:sz w:val="30"/>
          <w:szCs w:val="30"/>
        </w:rPr>
        <w:t>（十）负责研究、制定推动企业研发经费投入持续增长的政策、措施并落实；负责技术合同登记管理工作；负责科技中介服务机构服务科技型企业创新发展的引导、推进及实施工作。</w:t>
      </w:r>
    </w:p>
    <w:p w14:paraId="05FD6780">
      <w:pPr>
        <w:spacing w:line="580" w:lineRule="exact"/>
        <w:ind w:firstLine="588" w:firstLineChars="196"/>
        <w:rPr>
          <w:rFonts w:ascii="仿宋" w:hAnsi="仿宋" w:eastAsia="仿宋"/>
          <w:sz w:val="30"/>
          <w:szCs w:val="30"/>
        </w:rPr>
      </w:pPr>
      <w:r>
        <w:rPr>
          <w:rFonts w:hint="eastAsia" w:ascii="仿宋" w:hAnsi="仿宋" w:eastAsia="仿宋"/>
          <w:sz w:val="30"/>
          <w:szCs w:val="30"/>
        </w:rPr>
        <w:t>（十一）负责研究、制定引进国外智力规划、国外人才和智力项目的政策措施并落实；负责来区外国人员管理和服务工作；负责国家、省、市各级引智项目的申报推荐和管理工作；负责推进国际科技合作和科技人才交流工作。</w:t>
      </w:r>
    </w:p>
    <w:p w14:paraId="524F8581">
      <w:pPr>
        <w:spacing w:line="580" w:lineRule="exact"/>
        <w:ind w:firstLine="600" w:firstLineChars="200"/>
        <w:rPr>
          <w:rFonts w:ascii="仿宋" w:hAnsi="仿宋" w:eastAsia="仿宋"/>
          <w:sz w:val="30"/>
          <w:szCs w:val="30"/>
        </w:rPr>
      </w:pPr>
      <w:r>
        <w:rPr>
          <w:rFonts w:hint="eastAsia" w:ascii="仿宋" w:hAnsi="仿宋" w:eastAsia="仿宋"/>
          <w:sz w:val="30"/>
          <w:szCs w:val="30"/>
        </w:rPr>
        <w:t>（十二）负责拟订和组织实施全区知识产权事业发展规划。组织拟订加强知识产权强区建设的政策和发展规划，组织拟订全区经济、科技、文化等领域知识产权工作的政策制度，指导全区知识产权发展工作。统筹协调全区知识产权涉外工作，负责知识产权对外联络与合作交流。</w:t>
      </w:r>
    </w:p>
    <w:p w14:paraId="56C5AE69">
      <w:pPr>
        <w:spacing w:line="580" w:lineRule="exact"/>
        <w:ind w:firstLine="600" w:firstLineChars="200"/>
        <w:rPr>
          <w:rFonts w:ascii="仿宋" w:hAnsi="仿宋" w:eastAsia="仿宋"/>
          <w:sz w:val="30"/>
          <w:szCs w:val="30"/>
        </w:rPr>
      </w:pPr>
      <w:r>
        <w:rPr>
          <w:rFonts w:hint="eastAsia" w:ascii="仿宋" w:hAnsi="仿宋" w:eastAsia="仿宋"/>
          <w:sz w:val="30"/>
          <w:szCs w:val="30"/>
        </w:rPr>
        <w:t>（十三）负责承接市科协的相关工作。</w:t>
      </w:r>
      <w:r>
        <w:rPr>
          <w:rFonts w:hint="eastAsia" w:ascii="仿宋" w:hAnsi="仿宋" w:eastAsia="仿宋" w:cs="仿宋"/>
          <w:sz w:val="30"/>
          <w:szCs w:val="30"/>
        </w:rPr>
        <w:t>密切联系科技工作者，开展学术交流，活跃学术思想，倡导学术民主，优化学术环境，促进学科发展，服务我市创新体系建设。促进科学道德建设和学风建设，宣传优秀科技工作者事迹，培育科学文化，践行社会主义核心价值观等相关工作。</w:t>
      </w:r>
    </w:p>
    <w:p w14:paraId="040EC1F6">
      <w:pPr>
        <w:spacing w:line="580" w:lineRule="exact"/>
        <w:ind w:firstLine="588" w:firstLineChars="196"/>
        <w:rPr>
          <w:rFonts w:ascii="仿宋" w:hAnsi="仿宋" w:eastAsia="仿宋"/>
          <w:sz w:val="30"/>
          <w:szCs w:val="30"/>
        </w:rPr>
      </w:pPr>
      <w:r>
        <w:rPr>
          <w:rFonts w:hint="eastAsia" w:ascii="仿宋" w:hAnsi="仿宋" w:eastAsia="仿宋"/>
          <w:sz w:val="30"/>
          <w:szCs w:val="30"/>
        </w:rPr>
        <w:t>（十四）完成区党工委、管委会交办的其他工作。</w:t>
      </w:r>
    </w:p>
    <w:p w14:paraId="00F869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4F8FB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w:t>
      </w:r>
      <w:r>
        <w:rPr>
          <w:rFonts w:hint="eastAsia" w:ascii="仿宋" w:hAnsi="仿宋" w:eastAsia="仿宋" w:cs="仿宋"/>
          <w:bCs/>
          <w:sz w:val="30"/>
          <w:szCs w:val="30"/>
        </w:rPr>
        <w:t>科技创新局</w:t>
      </w:r>
      <w:r>
        <w:rPr>
          <w:rFonts w:hint="eastAsia" w:ascii="仿宋" w:hAnsi="仿宋" w:eastAsia="仿宋" w:cs="仿宋"/>
          <w:color w:val="000000"/>
          <w:kern w:val="0"/>
          <w:sz w:val="30"/>
          <w:szCs w:val="30"/>
        </w:rPr>
        <w:t>部门预算为本部综合收支计划，无二级单位。</w:t>
      </w:r>
    </w:p>
    <w:p w14:paraId="1FCDEA85">
      <w:pPr>
        <w:widowControl/>
        <w:spacing w:line="330" w:lineRule="atLeast"/>
        <w:ind w:firstLine="600" w:firstLineChars="200"/>
        <w:jc w:val="left"/>
        <w:rPr>
          <w:rFonts w:ascii="仿宋" w:hAnsi="仿宋" w:eastAsia="仿宋" w:cs="仿宋"/>
          <w:color w:val="000000"/>
          <w:kern w:val="0"/>
          <w:sz w:val="30"/>
          <w:szCs w:val="30"/>
        </w:rPr>
      </w:pPr>
    </w:p>
    <w:p w14:paraId="1BD828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535B642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D5E107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按照综合预算的原则，本部门所有收入和支出均纳入部门预算管理，无下级预算单位。收入包括：财政拨款收入1735.1万元；支出包括：工资福利和对个人家庭补助支出711.4万元，</w:t>
      </w:r>
      <w:r>
        <w:rPr>
          <w:rFonts w:hint="eastAsia" w:ascii="仿宋" w:hAnsi="仿宋" w:eastAsia="仿宋" w:cs="仿宋"/>
          <w:sz w:val="30"/>
          <w:szCs w:val="30"/>
        </w:rPr>
        <w:t>商品和服务支出1023.7万元。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20年预算数增加1482.5万元，其中工资福利和对个人家庭补助支出增加711.4万元，</w:t>
      </w:r>
      <w:r>
        <w:rPr>
          <w:rFonts w:hint="eastAsia" w:ascii="仿宋" w:hAnsi="仿宋" w:eastAsia="仿宋" w:cs="仿宋"/>
          <w:sz w:val="30"/>
          <w:szCs w:val="30"/>
        </w:rPr>
        <w:t>商品和服务支出增加771.1万元。</w:t>
      </w:r>
    </w:p>
    <w:p w14:paraId="33B4906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B0ED77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8E6C25D">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2BE6F77E">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机关运行经费包括定额公用经费14.4万元。比去年增加9.8万元。主要是机构改革，人员增加。</w:t>
      </w:r>
    </w:p>
    <w:p w14:paraId="4527FDD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B66A1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2019年火炬调查经费35.3万元。</w:t>
      </w:r>
    </w:p>
    <w:p w14:paraId="50FDC16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0D9B50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048E056">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470C5610">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14:paraId="44AEDDD3">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26E4B5CE">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21年，按照“先有绩效，后有预算”原则，本部门共计编制绩效目标5个，预算金额983.3万元，占项目支出预算比重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0AC8A93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w:t>
      </w:r>
      <w:r>
        <w:rPr>
          <w:rFonts w:hint="eastAsia" w:ascii="仿宋" w:hAnsi="仿宋" w:eastAsia="仿宋" w:cs="宋体"/>
          <w:color w:val="000000"/>
          <w:kern w:val="0"/>
          <w:sz w:val="30"/>
          <w:szCs w:val="30"/>
        </w:rPr>
        <w:t>2019年度火炬统计第三方服务</w:t>
      </w:r>
      <w:r>
        <w:rPr>
          <w:rFonts w:hint="eastAsia" w:ascii="仿宋" w:hAnsi="仿宋" w:eastAsia="仿宋" w:cs="仿宋"/>
          <w:color w:val="000000"/>
          <w:kern w:val="0"/>
          <w:sz w:val="30"/>
          <w:szCs w:val="30"/>
        </w:rPr>
        <w:t>项目情况</w:t>
      </w:r>
    </w:p>
    <w:p w14:paraId="064DF95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1C8C10A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度火炬统计第三方服务费用专项资金是科技创新局为有效开展2019年度全国高新区火炬统计工作，聘请优质第三方服务机构完成各项统计任务所使用的财政资金，主要包括报表催报、培训费、数据审核费、模型搭建费、数据分析费、耗材费等。年度目标是在规定时限内完成科技部火炬中心部署的2019年度火炬统计工作任务，力争完成国家高新区排名晋位升级。</w:t>
      </w:r>
    </w:p>
    <w:p w14:paraId="7CC529F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E5D7EE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科技部火炬中心关于开展2019年度火炬统计调查工作的通知》（国科火字〔2019〕200号），按照委领导的批示精神，结合科技创新局的工作职责，项目的实施将对切实做好2019年度火炬统计工作提供必要的专业统计人员、数据分析、指标预测等方面支持，将对完成各项统计任务发挥支撑作用。</w:t>
      </w:r>
    </w:p>
    <w:p w14:paraId="218A8DC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274BB1E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项目具体组织实施的部门为高新区科技创新局。</w:t>
      </w:r>
    </w:p>
    <w:p w14:paraId="19469944">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33DE1A3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的实施是按照《科技部火炬中心关于开展2019年度火炬统计调查工作的通知》要求，开展高新区火炬统计范围内所有高新技术企业、科技型企业、规模以上工业企业、规模以上服务业企业、所有境内外上市企业以及部分具备一定科技含量的建筑类企业的综合统计工作。通过委托第三方服务机构对纳入统计的企业进行统计培训、组织申报、数据审核等工作。同时，依据《国家高新技术产业开发区综合评价指标体系》，构建指标评价模型，从专业角度对年度企业上报数据和高新区发展综合数据分析研究，查找发展短板，指导开展晋位升级工作。</w:t>
      </w:r>
    </w:p>
    <w:p w14:paraId="6C298C84">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14:paraId="7D135D96">
      <w:pPr>
        <w:ind w:left="315" w:leftChars="150" w:firstLine="300" w:firstLineChars="100"/>
        <w:rPr>
          <w:rFonts w:ascii="仿宋" w:hAnsi="仿宋" w:eastAsia="仿宋" w:cs="仿宋"/>
          <w:color w:val="000000"/>
          <w:kern w:val="0"/>
          <w:sz w:val="30"/>
          <w:szCs w:val="30"/>
        </w:rPr>
      </w:pPr>
      <w:r>
        <w:rPr>
          <w:rFonts w:hint="eastAsia" w:ascii="仿宋" w:hAnsi="仿宋" w:eastAsia="仿宋" w:cs="仿宋"/>
          <w:color w:val="000000"/>
          <w:kern w:val="0"/>
          <w:sz w:val="30"/>
          <w:szCs w:val="30"/>
        </w:rPr>
        <w:t>（1）制定工作安排</w:t>
      </w:r>
    </w:p>
    <w:p w14:paraId="01CB35B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按照科技部火炬中心明确的年度火炬统计工作时限和具体工作任务制定详细的工作计划，按时间节点稳步推进，确保年度各项工作有条不紊地开展。</w:t>
      </w:r>
    </w:p>
    <w:p w14:paraId="5C487B36">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14:paraId="5D525B5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一是严格按照部门申请、财政审核的程序，填报专项资金预算表、专项资金绩效目标表，明确申请项目的内容和金额、实施方案、绩效目标等。</w:t>
      </w:r>
    </w:p>
    <w:p w14:paraId="6A6B1AD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二是实行专款专用，明确专项资金期限，对于功能弱化、绩效不佳的专项资金，要及时予以调整或取消。</w:t>
      </w:r>
    </w:p>
    <w:p w14:paraId="3A704B01">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14:paraId="1BEF81A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14:paraId="5EA4B63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3D66BB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项目起止时间为2019年*月*日到2020年10月31日。（以火炬统计国家高新区综合排名公布日期为准）</w:t>
      </w:r>
    </w:p>
    <w:p w14:paraId="031A036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203E07F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2021年拟安排该项目一般公共预算35.3万元。</w:t>
      </w:r>
    </w:p>
    <w:p w14:paraId="56B43CA2">
      <w:pPr>
        <w:ind w:firstLine="600" w:firstLineChars="200"/>
        <w:rPr>
          <w:rFonts w:ascii="仿宋" w:hAnsi="仿宋" w:eastAsia="仿宋" w:cs="仿宋"/>
          <w:color w:val="000000"/>
          <w:kern w:val="0"/>
          <w:sz w:val="30"/>
          <w:szCs w:val="30"/>
        </w:rPr>
      </w:pPr>
    </w:p>
    <w:p w14:paraId="634E01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3B957D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2669FF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6B2F8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003BA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CF59D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4E565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9EB38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E2956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51E34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5F412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F7B59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CC61D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60C50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3F69C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21727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98091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BD8D8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5CA38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0E7FE6D">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202</w:t>
      </w:r>
      <w:r>
        <w:rPr>
          <w:rFonts w:hint="eastAsia" w:ascii="仿宋" w:hAnsi="仿宋" w:eastAsia="仿宋" w:cs="仿宋"/>
          <w:sz w:val="30"/>
          <w:szCs w:val="30"/>
        </w:rPr>
        <w:t>1年2月27日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45913"/>
    <w:rsid w:val="0007756D"/>
    <w:rsid w:val="000854C0"/>
    <w:rsid w:val="000856E2"/>
    <w:rsid w:val="000B43D8"/>
    <w:rsid w:val="000F7F22"/>
    <w:rsid w:val="0010550E"/>
    <w:rsid w:val="00171F59"/>
    <w:rsid w:val="00187190"/>
    <w:rsid w:val="00191320"/>
    <w:rsid w:val="0019167B"/>
    <w:rsid w:val="001961A4"/>
    <w:rsid w:val="001A4AB3"/>
    <w:rsid w:val="001B0A09"/>
    <w:rsid w:val="001E3E93"/>
    <w:rsid w:val="00207637"/>
    <w:rsid w:val="0024659F"/>
    <w:rsid w:val="00264775"/>
    <w:rsid w:val="00267739"/>
    <w:rsid w:val="002926EE"/>
    <w:rsid w:val="002A64FC"/>
    <w:rsid w:val="002B17B8"/>
    <w:rsid w:val="002C1CF2"/>
    <w:rsid w:val="002C65CC"/>
    <w:rsid w:val="002F6BCA"/>
    <w:rsid w:val="002F77CF"/>
    <w:rsid w:val="002F7D06"/>
    <w:rsid w:val="00321BF7"/>
    <w:rsid w:val="003339D0"/>
    <w:rsid w:val="0035785F"/>
    <w:rsid w:val="003706B9"/>
    <w:rsid w:val="00396854"/>
    <w:rsid w:val="00397809"/>
    <w:rsid w:val="003A1C7D"/>
    <w:rsid w:val="003A2C6B"/>
    <w:rsid w:val="004110C6"/>
    <w:rsid w:val="004221E9"/>
    <w:rsid w:val="00450646"/>
    <w:rsid w:val="00452FCD"/>
    <w:rsid w:val="00477EE3"/>
    <w:rsid w:val="004B236E"/>
    <w:rsid w:val="004E57F3"/>
    <w:rsid w:val="0050658B"/>
    <w:rsid w:val="00507731"/>
    <w:rsid w:val="00523ADE"/>
    <w:rsid w:val="00531B70"/>
    <w:rsid w:val="00546DB4"/>
    <w:rsid w:val="00560606"/>
    <w:rsid w:val="00570734"/>
    <w:rsid w:val="005905BA"/>
    <w:rsid w:val="005A04CC"/>
    <w:rsid w:val="005A4811"/>
    <w:rsid w:val="005A744D"/>
    <w:rsid w:val="005C3503"/>
    <w:rsid w:val="005C7CC4"/>
    <w:rsid w:val="005D4AA1"/>
    <w:rsid w:val="006007E9"/>
    <w:rsid w:val="0060263B"/>
    <w:rsid w:val="006062EF"/>
    <w:rsid w:val="00613234"/>
    <w:rsid w:val="006345BE"/>
    <w:rsid w:val="006462A5"/>
    <w:rsid w:val="0065570C"/>
    <w:rsid w:val="006853D8"/>
    <w:rsid w:val="00687EBB"/>
    <w:rsid w:val="006B731A"/>
    <w:rsid w:val="006D4E74"/>
    <w:rsid w:val="006D7D26"/>
    <w:rsid w:val="006F6ED9"/>
    <w:rsid w:val="007155A5"/>
    <w:rsid w:val="00755C7B"/>
    <w:rsid w:val="007805EB"/>
    <w:rsid w:val="007E5D4A"/>
    <w:rsid w:val="007F6745"/>
    <w:rsid w:val="00831033"/>
    <w:rsid w:val="008452EE"/>
    <w:rsid w:val="008620BC"/>
    <w:rsid w:val="00871C0B"/>
    <w:rsid w:val="008944F5"/>
    <w:rsid w:val="008B01B8"/>
    <w:rsid w:val="008F1042"/>
    <w:rsid w:val="009053B3"/>
    <w:rsid w:val="00931998"/>
    <w:rsid w:val="00941B10"/>
    <w:rsid w:val="00947BFC"/>
    <w:rsid w:val="00953061"/>
    <w:rsid w:val="00961681"/>
    <w:rsid w:val="00961E0F"/>
    <w:rsid w:val="00967B37"/>
    <w:rsid w:val="009E3EB2"/>
    <w:rsid w:val="009F1015"/>
    <w:rsid w:val="009F7009"/>
    <w:rsid w:val="00A008A6"/>
    <w:rsid w:val="00A12672"/>
    <w:rsid w:val="00A13834"/>
    <w:rsid w:val="00A15685"/>
    <w:rsid w:val="00A31DD3"/>
    <w:rsid w:val="00A472B8"/>
    <w:rsid w:val="00A53596"/>
    <w:rsid w:val="00A5549A"/>
    <w:rsid w:val="00A741C1"/>
    <w:rsid w:val="00A862FC"/>
    <w:rsid w:val="00A939DC"/>
    <w:rsid w:val="00AD382A"/>
    <w:rsid w:val="00AE71F7"/>
    <w:rsid w:val="00B2791F"/>
    <w:rsid w:val="00B476B0"/>
    <w:rsid w:val="00B70A2A"/>
    <w:rsid w:val="00BA1BE7"/>
    <w:rsid w:val="00BE09CB"/>
    <w:rsid w:val="00C03DB1"/>
    <w:rsid w:val="00C16EDA"/>
    <w:rsid w:val="00CA4431"/>
    <w:rsid w:val="00CB545C"/>
    <w:rsid w:val="00CF31FF"/>
    <w:rsid w:val="00D176CA"/>
    <w:rsid w:val="00D478FC"/>
    <w:rsid w:val="00D563C6"/>
    <w:rsid w:val="00D60FC9"/>
    <w:rsid w:val="00D85EF6"/>
    <w:rsid w:val="00DA068F"/>
    <w:rsid w:val="00DA0CCD"/>
    <w:rsid w:val="00DA2CCC"/>
    <w:rsid w:val="00DC1136"/>
    <w:rsid w:val="00DD605A"/>
    <w:rsid w:val="00DE47AE"/>
    <w:rsid w:val="00DF4BDF"/>
    <w:rsid w:val="00E3220C"/>
    <w:rsid w:val="00E34A0D"/>
    <w:rsid w:val="00E4405F"/>
    <w:rsid w:val="00EB4A0A"/>
    <w:rsid w:val="00EB6E55"/>
    <w:rsid w:val="00EB774A"/>
    <w:rsid w:val="00EE134B"/>
    <w:rsid w:val="00EE2914"/>
    <w:rsid w:val="00F01060"/>
    <w:rsid w:val="00F14B07"/>
    <w:rsid w:val="00F307F4"/>
    <w:rsid w:val="00F3191C"/>
    <w:rsid w:val="00F3478C"/>
    <w:rsid w:val="00FD5A90"/>
    <w:rsid w:val="00FD7251"/>
    <w:rsid w:val="00FE6C90"/>
    <w:rsid w:val="28DF028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3804</Words>
  <Characters>3944</Characters>
  <Lines>28</Lines>
  <Paragraphs>8</Paragraphs>
  <TotalTime>59</TotalTime>
  <ScaleCrop>false</ScaleCrop>
  <LinksUpToDate>false</LinksUpToDate>
  <CharactersWithSpaces>3983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2025-12-26T01:20:55Z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1A733CF0D63B4A78BE2228B703401A71_12</vt:lpwstr>
  </property>
</Properties>
</file>