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5D1C2">
      <w:pPr>
        <w:spacing w:line="600" w:lineRule="exact"/>
        <w:rPr>
          <w:rFonts w:ascii="仿宋_GB2312" w:eastAsia="仿宋_GB2312"/>
          <w:sz w:val="32"/>
          <w:szCs w:val="32"/>
        </w:rPr>
      </w:pPr>
      <w:bookmarkStart w:id="0" w:name="_GoBack"/>
      <w:bookmarkEnd w:id="0"/>
    </w:p>
    <w:p w14:paraId="2F61DFA3">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高新区投资促进局</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2年部门预算</w:t>
      </w:r>
    </w:p>
    <w:p w14:paraId="78C32625">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5F832476">
      <w:pPr>
        <w:widowControl/>
        <w:spacing w:line="56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第一部分</w:t>
      </w:r>
      <w:r>
        <w:rPr>
          <w:rFonts w:ascii="仿宋" w:hAnsi="仿宋" w:eastAsia="仿宋" w:cs="仿宋"/>
          <w:color w:val="000000"/>
          <w:kern w:val="0"/>
          <w:sz w:val="32"/>
          <w:szCs w:val="32"/>
        </w:rPr>
        <w:t xml:space="preserve"> </w:t>
      </w:r>
      <w:r>
        <w:rPr>
          <w:rFonts w:hint="eastAsia" w:ascii="仿宋" w:hAnsi="仿宋" w:eastAsia="仿宋" w:cs="仿宋"/>
          <w:color w:val="000000"/>
          <w:kern w:val="0"/>
          <w:sz w:val="32"/>
          <w:szCs w:val="32"/>
        </w:rPr>
        <w:t>部门概况</w:t>
      </w:r>
    </w:p>
    <w:p w14:paraId="5F752701">
      <w:pPr>
        <w:widowControl/>
        <w:spacing w:line="56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一、主要职责：</w:t>
      </w:r>
    </w:p>
    <w:p w14:paraId="586AC833">
      <w:pPr>
        <w:spacing w:line="560" w:lineRule="exact"/>
        <w:ind w:firstLine="640" w:firstLineChars="200"/>
        <w:rPr>
          <w:rFonts w:ascii="仿宋" w:hAnsi="仿宋" w:eastAsia="仿宋"/>
          <w:sz w:val="32"/>
          <w:szCs w:val="32"/>
        </w:rPr>
      </w:pPr>
      <w:r>
        <w:rPr>
          <w:rFonts w:hint="eastAsia" w:ascii="仿宋" w:hAnsi="仿宋" w:eastAsia="仿宋"/>
          <w:sz w:val="32"/>
          <w:szCs w:val="32"/>
        </w:rPr>
        <w:t>（一）贯彻落实国家、省、市关于对外开放、对内合作等方面的战略部署、方针政策和法律法规，研究大连高新区对内、对外经济合作的发展战略，指导协调国外、国内招商引资和国际、国内省市之间的经济合作交流等相关工作。</w:t>
      </w:r>
    </w:p>
    <w:p w14:paraId="5580D6F4">
      <w:pPr>
        <w:spacing w:line="560" w:lineRule="exact"/>
        <w:ind w:firstLine="640" w:firstLineChars="200"/>
        <w:rPr>
          <w:rFonts w:ascii="仿宋" w:hAnsi="仿宋" w:eastAsia="仿宋"/>
          <w:sz w:val="32"/>
          <w:szCs w:val="32"/>
        </w:rPr>
      </w:pPr>
      <w:r>
        <w:rPr>
          <w:rFonts w:hint="eastAsia" w:ascii="仿宋" w:hAnsi="仿宋" w:eastAsia="仿宋"/>
          <w:sz w:val="32"/>
          <w:szCs w:val="32"/>
        </w:rPr>
        <w:t>（二）贯彻执行国家的对外方针政策、涉外法规以及市委、市政府、管委会关于外事、港澳工作的决定，管理大连高新区外事工作。</w:t>
      </w:r>
    </w:p>
    <w:p w14:paraId="679B2C96">
      <w:pPr>
        <w:spacing w:line="560" w:lineRule="exact"/>
        <w:ind w:firstLine="640" w:firstLineChars="200"/>
        <w:rPr>
          <w:rFonts w:ascii="仿宋" w:hAnsi="仿宋" w:eastAsia="仿宋"/>
          <w:sz w:val="32"/>
          <w:szCs w:val="32"/>
        </w:rPr>
      </w:pPr>
      <w:r>
        <w:rPr>
          <w:rFonts w:hint="eastAsia" w:ascii="仿宋" w:hAnsi="仿宋" w:eastAsia="仿宋"/>
          <w:sz w:val="32"/>
          <w:szCs w:val="32"/>
        </w:rPr>
        <w:t>（三）负责汇总、分析全区国外招商引资工作总体情况及运行态势；综合研究、组织协调解决外资工作发展的重大问题，提出相关对策和建议；拟订全区国外招商引资和利用外资工作年度指导性计划并组织实施；规范、组织实施对外招商活动；指导促进外资项目发展；负责履行外商投资企业事中事后监管职责，对外商投资企业合规情况进行监督检查；负责全区实际利用外资工作统计汇总工作；负责全区外资工作绩效考核；对全区投资促进、大型经贸活动等相关工作进行业务指导；承担市商务局归口的相关资金管理工作；承接市对外开放领导小组办公室的工作；承接市商务局园区处园区经济指标统计上报等相关工作。</w:t>
      </w:r>
    </w:p>
    <w:p w14:paraId="38DFAFB9">
      <w:pPr>
        <w:spacing w:line="560" w:lineRule="exact"/>
        <w:ind w:firstLine="640" w:firstLineChars="200"/>
        <w:rPr>
          <w:rFonts w:ascii="仿宋" w:hAnsi="仿宋" w:eastAsia="仿宋"/>
          <w:sz w:val="32"/>
          <w:szCs w:val="32"/>
        </w:rPr>
      </w:pPr>
      <w:r>
        <w:rPr>
          <w:rFonts w:hint="eastAsia" w:ascii="仿宋" w:hAnsi="仿宋" w:eastAsia="仿宋"/>
          <w:sz w:val="32"/>
          <w:szCs w:val="32"/>
        </w:rPr>
        <w:t>（四）负责拟订全区国内招商引资和经济合作发展战略、中长期规划、年度指导性计划并组织实施；负责国内招商引资实际到位项目、资金的统计汇总考核工作；负责收集、整理、综合全区经济合作交流信息并组织发布，及时向高新区党工委、管委会领导提供决策参考，为社会提供经济合作交流信息公共服务；对全区经济合作交流、招商引资等相关工作进行业务指导；牵头组织参加国内大型招商引资及经贸活动和展销博览工作。</w:t>
      </w:r>
    </w:p>
    <w:p w14:paraId="0B73CDE0">
      <w:pPr>
        <w:spacing w:line="560" w:lineRule="exact"/>
        <w:ind w:firstLine="640" w:firstLineChars="200"/>
        <w:rPr>
          <w:rFonts w:ascii="仿宋" w:hAnsi="仿宋" w:eastAsia="仿宋"/>
          <w:sz w:val="32"/>
          <w:szCs w:val="32"/>
        </w:rPr>
      </w:pPr>
      <w:r>
        <w:rPr>
          <w:rFonts w:hint="eastAsia" w:ascii="仿宋" w:hAnsi="仿宋" w:eastAsia="仿宋"/>
          <w:sz w:val="32"/>
          <w:szCs w:val="32"/>
        </w:rPr>
        <w:t>（五）负责企业进出口经营权的指导协调工作；推进进出口贸易发展；执行高新区管委会出台的出口奖励政策；研究、推广新型贸易方式；负责全面推动国家数字服务出口基地建设；负责全区对外贸易经营者备案登记；负责软件出口合同登记。</w:t>
      </w:r>
    </w:p>
    <w:p w14:paraId="69A9DA60">
      <w:pPr>
        <w:spacing w:line="560" w:lineRule="exact"/>
        <w:ind w:firstLine="640" w:firstLineChars="200"/>
        <w:rPr>
          <w:rFonts w:ascii="仿宋" w:hAnsi="仿宋" w:eastAsia="仿宋"/>
          <w:sz w:val="32"/>
          <w:szCs w:val="32"/>
        </w:rPr>
      </w:pPr>
      <w:r>
        <w:rPr>
          <w:rFonts w:hint="eastAsia" w:ascii="仿宋" w:hAnsi="仿宋" w:eastAsia="仿宋"/>
          <w:sz w:val="32"/>
          <w:szCs w:val="32"/>
        </w:rPr>
        <w:t>（六）负责起草全区重要外事规定，拟订并组织实施外事工作管理制度；拟订全区因公出国（境）计划，归口管理全区因公出国及赴港澳手续办理等工作；负责全区APEC商务旅行卡的申办管理工作；协调我区重大外事、涉外活动及翻译相关工作，负责处理或协助处理重要的涉外事务；配合纪检监察和保密部门检查外事纪律及保密制度的执行情况，协同有关部门查处出国（境）工作中出现的重大违纪事件；负责协助市外办会同区有关部门处置境外涉区突发事件，保护境外公民和机构的合法权益，参与处置区内涉外突发事件。</w:t>
      </w:r>
    </w:p>
    <w:p w14:paraId="0DD58CB5">
      <w:pPr>
        <w:spacing w:line="560" w:lineRule="exact"/>
        <w:ind w:firstLine="640" w:firstLineChars="200"/>
        <w:rPr>
          <w:rFonts w:ascii="仿宋" w:hAnsi="仿宋" w:eastAsia="仿宋"/>
          <w:sz w:val="32"/>
          <w:szCs w:val="32"/>
        </w:rPr>
      </w:pPr>
      <w:r>
        <w:rPr>
          <w:rFonts w:hint="eastAsia" w:ascii="仿宋" w:hAnsi="仿宋" w:eastAsia="仿宋"/>
          <w:sz w:val="32"/>
          <w:szCs w:val="32"/>
        </w:rPr>
        <w:t>（七）负责全区招商引资、外贸进出口的综合管理、指导和协调工作。</w:t>
      </w:r>
    </w:p>
    <w:p w14:paraId="661C3B97">
      <w:pPr>
        <w:spacing w:line="560" w:lineRule="exact"/>
        <w:ind w:firstLine="640" w:firstLineChars="200"/>
        <w:rPr>
          <w:rFonts w:ascii="仿宋" w:hAnsi="仿宋" w:eastAsia="仿宋"/>
          <w:sz w:val="32"/>
          <w:szCs w:val="32"/>
        </w:rPr>
      </w:pPr>
      <w:r>
        <w:rPr>
          <w:rFonts w:hint="eastAsia" w:ascii="仿宋" w:hAnsi="仿宋" w:eastAsia="仿宋"/>
          <w:sz w:val="32"/>
          <w:szCs w:val="32"/>
        </w:rPr>
        <w:t>（八）贯彻执行国家、省、市关于开展民间对外交往的方针政策，积极拓展国际交流渠道，促进民间对外友好、交流和合作，为推动地方经济建设和社会发展服务，负责市人民对外友好协会交办的其他工作。</w:t>
      </w:r>
    </w:p>
    <w:p w14:paraId="34E4A4FC">
      <w:pPr>
        <w:spacing w:line="560" w:lineRule="exact"/>
        <w:ind w:firstLine="640" w:firstLineChars="200"/>
        <w:rPr>
          <w:rFonts w:ascii="仿宋" w:hAnsi="仿宋" w:eastAsia="仿宋"/>
          <w:sz w:val="32"/>
          <w:szCs w:val="32"/>
        </w:rPr>
      </w:pPr>
      <w:r>
        <w:rPr>
          <w:rFonts w:hint="eastAsia" w:ascii="仿宋" w:hAnsi="仿宋" w:eastAsia="仿宋"/>
          <w:sz w:val="32"/>
          <w:szCs w:val="32"/>
        </w:rPr>
        <w:t>（九）指导、协调我区贸促机构工作，组织有关机构、组织、企业出访，参与或参加有关国际经贸会议和活动，开展国际、区域交流与合作，负责中国贸促会大连分会交办的其他工作。</w:t>
      </w:r>
    </w:p>
    <w:p w14:paraId="2F657792">
      <w:pPr>
        <w:spacing w:line="560" w:lineRule="exact"/>
        <w:ind w:firstLine="640" w:firstLineChars="200"/>
        <w:rPr>
          <w:rFonts w:ascii="仿宋" w:hAnsi="仿宋" w:eastAsia="仿宋"/>
          <w:sz w:val="32"/>
          <w:szCs w:val="32"/>
        </w:rPr>
      </w:pPr>
      <w:r>
        <w:rPr>
          <w:rFonts w:hint="eastAsia" w:ascii="仿宋" w:hAnsi="仿宋" w:eastAsia="仿宋"/>
          <w:sz w:val="32"/>
          <w:szCs w:val="32"/>
        </w:rPr>
        <w:t>（十）完成区党工委、管委会交办的其他工作。</w:t>
      </w:r>
    </w:p>
    <w:p w14:paraId="6DD75A66">
      <w:pPr>
        <w:widowControl/>
        <w:spacing w:line="56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二、部门预算单位构成</w:t>
      </w:r>
    </w:p>
    <w:p w14:paraId="6C81D3E4">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202</w:t>
      </w:r>
      <w:r>
        <w:rPr>
          <w:rFonts w:hint="eastAsia" w:ascii="仿宋" w:hAnsi="仿宋" w:eastAsia="仿宋" w:cs="仿宋"/>
          <w:color w:val="000000"/>
          <w:kern w:val="0"/>
          <w:sz w:val="32"/>
          <w:szCs w:val="32"/>
        </w:rPr>
        <w:t>2年</w:t>
      </w:r>
      <w:r>
        <w:rPr>
          <w:rFonts w:hint="eastAsia" w:ascii="仿宋" w:hAnsi="仿宋" w:eastAsia="仿宋" w:cs="仿宋"/>
          <w:bCs/>
          <w:sz w:val="32"/>
          <w:szCs w:val="32"/>
        </w:rPr>
        <w:t>投资促进局</w:t>
      </w:r>
      <w:r>
        <w:rPr>
          <w:rFonts w:hint="eastAsia" w:ascii="仿宋" w:hAnsi="仿宋" w:eastAsia="仿宋" w:cs="仿宋"/>
          <w:color w:val="000000"/>
          <w:kern w:val="0"/>
          <w:sz w:val="32"/>
          <w:szCs w:val="32"/>
        </w:rPr>
        <w:t>部门预算为本部综合收支计划，无二级单位。</w:t>
      </w:r>
    </w:p>
    <w:p w14:paraId="6A87FA04">
      <w:pPr>
        <w:widowControl/>
        <w:spacing w:line="560" w:lineRule="exact"/>
        <w:ind w:firstLine="640" w:firstLineChars="200"/>
        <w:jc w:val="left"/>
        <w:rPr>
          <w:rFonts w:ascii="仿宋" w:hAnsi="仿宋" w:eastAsia="仿宋" w:cs="仿宋"/>
          <w:color w:val="000000"/>
          <w:kern w:val="0"/>
          <w:sz w:val="32"/>
          <w:szCs w:val="32"/>
        </w:rPr>
      </w:pPr>
    </w:p>
    <w:p w14:paraId="13418907">
      <w:pPr>
        <w:widowControl/>
        <w:spacing w:line="56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第二部分</w:t>
      </w:r>
      <w:r>
        <w:rPr>
          <w:rFonts w:ascii="仿宋" w:hAnsi="仿宋" w:eastAsia="仿宋" w:cs="仿宋"/>
          <w:color w:val="000000"/>
          <w:kern w:val="0"/>
          <w:sz w:val="32"/>
          <w:szCs w:val="32"/>
        </w:rPr>
        <w:t xml:space="preserve"> </w:t>
      </w:r>
      <w:r>
        <w:rPr>
          <w:rFonts w:hint="eastAsia" w:ascii="仿宋" w:hAnsi="仿宋" w:eastAsia="仿宋" w:cs="仿宋"/>
          <w:color w:val="000000"/>
          <w:kern w:val="0"/>
          <w:sz w:val="32"/>
          <w:szCs w:val="32"/>
        </w:rPr>
        <w:t>部门预算情况说明</w:t>
      </w:r>
    </w:p>
    <w:p w14:paraId="04B14E52">
      <w:pPr>
        <w:widowControl/>
        <w:spacing w:line="560" w:lineRule="exact"/>
        <w:ind w:firstLine="640" w:firstLineChars="200"/>
        <w:jc w:val="left"/>
        <w:rPr>
          <w:rFonts w:ascii="仿宋" w:hAnsi="仿宋" w:eastAsia="仿宋"/>
          <w:color w:val="000000"/>
          <w:sz w:val="32"/>
          <w:szCs w:val="32"/>
        </w:rPr>
      </w:pPr>
      <w:r>
        <w:rPr>
          <w:rFonts w:hint="eastAsia" w:ascii="仿宋" w:hAnsi="仿宋" w:eastAsia="仿宋" w:cs="仿宋"/>
          <w:color w:val="000000"/>
          <w:kern w:val="0"/>
          <w:sz w:val="32"/>
          <w:szCs w:val="32"/>
        </w:rPr>
        <w:t>一、总体说明</w:t>
      </w:r>
    </w:p>
    <w:p w14:paraId="4D8DA517">
      <w:pPr>
        <w:widowControl/>
        <w:spacing w:line="560" w:lineRule="exact"/>
        <w:ind w:firstLine="640" w:firstLineChars="200"/>
        <w:jc w:val="left"/>
        <w:rPr>
          <w:rFonts w:ascii="仿宋" w:hAnsi="仿宋" w:eastAsia="仿宋" w:cs="仿宋"/>
          <w:sz w:val="32"/>
          <w:szCs w:val="32"/>
        </w:rPr>
      </w:pPr>
      <w:r>
        <w:rPr>
          <w:rFonts w:hint="eastAsia" w:ascii="仿宋" w:hAnsi="仿宋" w:eastAsia="仿宋" w:cs="仿宋"/>
          <w:color w:val="000000"/>
          <w:kern w:val="0"/>
          <w:sz w:val="32"/>
          <w:szCs w:val="32"/>
        </w:rPr>
        <w:t>按照综合预算的原则，本部门所有收入和支出均纳入部门预算管理，无下级预算单位。收入包括：财政拨款收入26236.8万元；支出包括：工资福利和对个人家庭补助支出865.5万元，</w:t>
      </w:r>
      <w:r>
        <w:rPr>
          <w:rFonts w:hint="eastAsia" w:ascii="仿宋" w:hAnsi="仿宋" w:eastAsia="仿宋" w:cs="仿宋"/>
          <w:sz w:val="32"/>
          <w:szCs w:val="32"/>
        </w:rPr>
        <w:t>商品和服务支出25371.3万元</w:t>
      </w:r>
      <w:r>
        <w:rPr>
          <w:rFonts w:hint="eastAsia" w:ascii="仿宋_GB2312" w:eastAsia="仿宋_GB2312"/>
          <w:sz w:val="32"/>
          <w:szCs w:val="32"/>
        </w:rPr>
        <w:t>（含专项经费25283.6万元）</w:t>
      </w:r>
      <w:r>
        <w:rPr>
          <w:rFonts w:hint="eastAsia" w:ascii="仿宋" w:hAnsi="仿宋" w:eastAsia="仿宋" w:cs="仿宋"/>
          <w:sz w:val="32"/>
          <w:szCs w:val="32"/>
        </w:rPr>
        <w:t>。</w:t>
      </w:r>
      <w:r>
        <w:rPr>
          <w:rFonts w:hint="eastAsia" w:ascii="仿宋" w:hAnsi="仿宋" w:eastAsia="仿宋" w:cs="仿宋"/>
          <w:color w:val="000000"/>
          <w:kern w:val="0"/>
          <w:sz w:val="32"/>
          <w:szCs w:val="32"/>
        </w:rPr>
        <w:t>全部为一般公共预算收支，无政府性基金预算收支，无国有资本经营预算收支。比</w:t>
      </w:r>
      <w:r>
        <w:rPr>
          <w:rFonts w:ascii="仿宋" w:hAnsi="仿宋" w:eastAsia="仿宋" w:cs="仿宋"/>
          <w:color w:val="000000"/>
          <w:kern w:val="0"/>
          <w:sz w:val="32"/>
          <w:szCs w:val="32"/>
        </w:rPr>
        <w:t>20</w:t>
      </w:r>
      <w:r>
        <w:rPr>
          <w:rFonts w:hint="eastAsia" w:ascii="仿宋" w:hAnsi="仿宋" w:eastAsia="仿宋" w:cs="仿宋"/>
          <w:color w:val="000000"/>
          <w:kern w:val="0"/>
          <w:sz w:val="32"/>
          <w:szCs w:val="32"/>
        </w:rPr>
        <w:t>21年预算数增加23861.9万元，其中工资福利和对个人家庭补助支出增加300.7万元，</w:t>
      </w:r>
      <w:r>
        <w:rPr>
          <w:rFonts w:hint="eastAsia" w:ascii="仿宋" w:hAnsi="仿宋" w:eastAsia="仿宋" w:cs="仿宋"/>
          <w:sz w:val="32"/>
          <w:szCs w:val="32"/>
        </w:rPr>
        <w:t>商品和服务支出增加23561.2万元。</w:t>
      </w:r>
    </w:p>
    <w:p w14:paraId="3C1DF747">
      <w:pPr>
        <w:widowControl/>
        <w:spacing w:line="560" w:lineRule="exact"/>
        <w:ind w:firstLine="640" w:firstLineChars="200"/>
        <w:jc w:val="left"/>
        <w:rPr>
          <w:rFonts w:ascii="仿宋" w:hAnsi="仿宋" w:eastAsia="仿宋"/>
          <w:color w:val="000000"/>
          <w:sz w:val="32"/>
          <w:szCs w:val="32"/>
        </w:rPr>
      </w:pPr>
      <w:r>
        <w:rPr>
          <w:rFonts w:hint="eastAsia" w:ascii="仿宋" w:hAnsi="仿宋" w:eastAsia="仿宋" w:cs="仿宋"/>
          <w:color w:val="000000"/>
          <w:kern w:val="0"/>
          <w:sz w:val="32"/>
          <w:szCs w:val="32"/>
        </w:rPr>
        <w:t>二、“三公”经费预算情况说明</w:t>
      </w:r>
    </w:p>
    <w:p w14:paraId="6D90670C">
      <w:pPr>
        <w:spacing w:line="560" w:lineRule="exact"/>
        <w:ind w:firstLine="600" w:firstLineChars="200"/>
        <w:rPr>
          <w:rFonts w:ascii="仿宋" w:hAnsi="仿宋" w:eastAsia="仿宋" w:cs="仿宋"/>
          <w:sz w:val="32"/>
          <w:szCs w:val="32"/>
        </w:rPr>
      </w:pPr>
      <w:r>
        <w:rPr>
          <w:rFonts w:hint="eastAsia" w:ascii="仿宋" w:hAnsi="仿宋" w:eastAsia="仿宋"/>
          <w:sz w:val="30"/>
          <w:szCs w:val="30"/>
        </w:rPr>
        <w:t>无“三公”经费支出</w:t>
      </w:r>
      <w:r>
        <w:rPr>
          <w:rFonts w:hint="eastAsia" w:ascii="仿宋" w:hAnsi="仿宋" w:eastAsia="仿宋" w:cs="仿宋"/>
          <w:sz w:val="30"/>
          <w:szCs w:val="30"/>
        </w:rPr>
        <w:t>。</w:t>
      </w:r>
      <w:r>
        <w:rPr>
          <w:rFonts w:hint="eastAsia" w:ascii="仿宋" w:hAnsi="仿宋" w:eastAsia="仿宋" w:cs="仿宋"/>
          <w:sz w:val="32"/>
          <w:szCs w:val="32"/>
        </w:rPr>
        <w:t>主要是按照中央及市委、市政府关于厉行节约、改进工作作风、密切联系群众</w:t>
      </w:r>
      <w:r>
        <w:rPr>
          <w:rFonts w:hint="eastAsia" w:ascii="仿宋" w:hAnsi="仿宋" w:eastAsia="仿宋" w:cs="仿宋"/>
          <w:sz w:val="32"/>
          <w:szCs w:val="32"/>
          <w:lang w:eastAsia="zh-CN"/>
        </w:rPr>
        <w:t>中央八项规定</w:t>
      </w:r>
      <w:r>
        <w:rPr>
          <w:rFonts w:hint="eastAsia" w:ascii="仿宋" w:hAnsi="仿宋" w:eastAsia="仿宋" w:cs="仿宋"/>
          <w:sz w:val="32"/>
          <w:szCs w:val="32"/>
        </w:rPr>
        <w:t>等有关要求，严格控制“三公”经费支出。</w:t>
      </w:r>
    </w:p>
    <w:p w14:paraId="65E2EAF1">
      <w:pPr>
        <w:widowControl/>
        <w:spacing w:line="560" w:lineRule="exact"/>
        <w:ind w:firstLine="640" w:firstLineChars="200"/>
        <w:jc w:val="left"/>
        <w:rPr>
          <w:rFonts w:ascii="仿宋" w:hAnsi="仿宋" w:eastAsia="仿宋"/>
          <w:color w:val="000000"/>
          <w:sz w:val="32"/>
          <w:szCs w:val="32"/>
        </w:rPr>
      </w:pPr>
      <w:r>
        <w:rPr>
          <w:rFonts w:hint="eastAsia" w:ascii="仿宋" w:hAnsi="仿宋" w:eastAsia="仿宋" w:cs="仿宋"/>
          <w:color w:val="000000"/>
          <w:kern w:val="0"/>
          <w:sz w:val="32"/>
          <w:szCs w:val="32"/>
        </w:rPr>
        <w:t>三、机关运行经费安排情况说明</w:t>
      </w:r>
    </w:p>
    <w:p w14:paraId="5E616B39">
      <w:pPr>
        <w:widowControl/>
        <w:spacing w:line="330" w:lineRule="atLeast"/>
        <w:ind w:firstLine="640" w:firstLineChars="200"/>
        <w:jc w:val="left"/>
        <w:rPr>
          <w:rFonts w:ascii="仿宋" w:hAnsi="仿宋" w:eastAsia="仿宋"/>
          <w:color w:val="000000"/>
          <w:sz w:val="30"/>
          <w:szCs w:val="30"/>
        </w:rPr>
      </w:pPr>
      <w:r>
        <w:rPr>
          <w:rFonts w:hint="eastAsia" w:ascii="仿宋" w:hAnsi="仿宋" w:eastAsia="仿宋" w:cs="仿宋"/>
          <w:color w:val="000000"/>
          <w:kern w:val="0"/>
          <w:sz w:val="32"/>
          <w:szCs w:val="32"/>
        </w:rPr>
        <w:t>机关运行经费包括定额公用经费12.4万元。</w:t>
      </w:r>
      <w:r>
        <w:rPr>
          <w:rFonts w:hint="eastAsia" w:ascii="仿宋" w:hAnsi="仿宋" w:eastAsia="仿宋" w:cs="仿宋"/>
          <w:color w:val="000000"/>
          <w:kern w:val="0"/>
          <w:sz w:val="30"/>
          <w:szCs w:val="30"/>
        </w:rPr>
        <w:t>比去年减少1.1万元。主要是节约开支。</w:t>
      </w:r>
    </w:p>
    <w:p w14:paraId="4324312B">
      <w:pPr>
        <w:widowControl/>
        <w:spacing w:line="560" w:lineRule="exact"/>
        <w:ind w:firstLine="640" w:firstLineChars="200"/>
        <w:jc w:val="left"/>
        <w:rPr>
          <w:rFonts w:ascii="仿宋" w:hAnsi="仿宋" w:eastAsia="仿宋"/>
          <w:color w:val="000000"/>
          <w:sz w:val="32"/>
          <w:szCs w:val="32"/>
        </w:rPr>
      </w:pPr>
      <w:r>
        <w:rPr>
          <w:rFonts w:hint="eastAsia" w:ascii="仿宋" w:hAnsi="仿宋" w:eastAsia="仿宋" w:cs="仿宋"/>
          <w:color w:val="000000"/>
          <w:kern w:val="0"/>
          <w:sz w:val="32"/>
          <w:szCs w:val="32"/>
        </w:rPr>
        <w:t>四、政府采购情况说明</w:t>
      </w:r>
    </w:p>
    <w:p w14:paraId="36687B3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318B5B63">
      <w:pPr>
        <w:widowControl/>
        <w:spacing w:line="56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五、政府性基金收支预算情况</w:t>
      </w:r>
    </w:p>
    <w:p w14:paraId="327F779C">
      <w:pPr>
        <w:widowControl/>
        <w:spacing w:line="56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无政府性基金预算收支。</w:t>
      </w:r>
    </w:p>
    <w:p w14:paraId="294BF10F">
      <w:pPr>
        <w:spacing w:line="560" w:lineRule="exact"/>
        <w:ind w:firstLine="640" w:firstLineChars="200"/>
        <w:rPr>
          <w:rFonts w:ascii="仿宋" w:hAnsi="仿宋" w:eastAsia="仿宋"/>
          <w:sz w:val="32"/>
          <w:szCs w:val="32"/>
        </w:rPr>
      </w:pPr>
      <w:r>
        <w:rPr>
          <w:rFonts w:hint="eastAsia" w:ascii="仿宋" w:hAnsi="仿宋" w:eastAsia="仿宋"/>
          <w:sz w:val="32"/>
          <w:szCs w:val="32"/>
        </w:rPr>
        <w:t>六、国有资产占有使用情况说明</w:t>
      </w:r>
    </w:p>
    <w:p w14:paraId="18D4E68C">
      <w:pPr>
        <w:widowControl/>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国有资产占有使用情况说明为：截至2021年12月31日，部门（单位）共有车辆0辆；单位价值50万元（含）以上通用设备1台（套）；单位价值100万元以上专用设备0台（套）。</w:t>
      </w:r>
    </w:p>
    <w:p w14:paraId="65D58035">
      <w:pPr>
        <w:widowControl/>
        <w:spacing w:line="56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七、预算绩效管理情况</w:t>
      </w:r>
    </w:p>
    <w:p w14:paraId="6FB8B9CD">
      <w:pPr>
        <w:widowControl/>
        <w:spacing w:line="560" w:lineRule="exact"/>
        <w:ind w:firstLine="640" w:firstLineChars="200"/>
        <w:jc w:val="left"/>
        <w:rPr>
          <w:rFonts w:ascii="仿宋" w:hAnsi="仿宋" w:eastAsia="仿宋" w:cs="仿宋"/>
          <w:kern w:val="0"/>
          <w:sz w:val="32"/>
          <w:szCs w:val="32"/>
        </w:rPr>
      </w:pPr>
      <w:r>
        <w:rPr>
          <w:rFonts w:ascii="仿宋" w:hAnsi="仿宋" w:eastAsia="仿宋" w:cs="仿宋"/>
          <w:kern w:val="0"/>
          <w:sz w:val="32"/>
          <w:szCs w:val="32"/>
        </w:rPr>
        <w:t>20</w:t>
      </w:r>
      <w:r>
        <w:rPr>
          <w:rFonts w:hint="eastAsia" w:ascii="仿宋" w:hAnsi="仿宋" w:eastAsia="仿宋" w:cs="仿宋"/>
          <w:kern w:val="0"/>
          <w:sz w:val="32"/>
          <w:szCs w:val="32"/>
        </w:rPr>
        <w:t>22年，按照“先有绩效，后有预算”原则，本部门共计编制绩效目标18个，预算金额25283.6万元，占项目支出预算比重</w:t>
      </w:r>
      <w:r>
        <w:rPr>
          <w:rFonts w:ascii="仿宋" w:hAnsi="仿宋" w:eastAsia="仿宋" w:cs="仿宋"/>
          <w:kern w:val="0"/>
          <w:sz w:val="32"/>
          <w:szCs w:val="32"/>
        </w:rPr>
        <w:t>100%</w:t>
      </w:r>
      <w:r>
        <w:rPr>
          <w:rFonts w:hint="eastAsia" w:ascii="仿宋" w:hAnsi="仿宋" w:eastAsia="仿宋" w:cs="仿宋"/>
          <w:kern w:val="0"/>
          <w:sz w:val="32"/>
          <w:szCs w:val="32"/>
        </w:rPr>
        <w:t>。</w:t>
      </w:r>
    </w:p>
    <w:p w14:paraId="3651EDDD">
      <w:pPr>
        <w:snapToGrid w:val="0"/>
        <w:spacing w:line="560" w:lineRule="exact"/>
        <w:ind w:firstLine="640" w:firstLineChars="200"/>
        <w:rPr>
          <w:rFonts w:ascii="仿宋" w:hAnsi="仿宋" w:eastAsia="仿宋"/>
          <w:bCs/>
          <w:sz w:val="32"/>
          <w:szCs w:val="32"/>
        </w:rPr>
      </w:pPr>
      <w:r>
        <w:rPr>
          <w:rFonts w:hint="eastAsia" w:ascii="仿宋" w:hAnsi="仿宋" w:eastAsia="仿宋"/>
          <w:bCs/>
          <w:sz w:val="32"/>
          <w:szCs w:val="32"/>
        </w:rPr>
        <w:t>八、2022年外资奖励政策的预算情况</w:t>
      </w:r>
    </w:p>
    <w:p w14:paraId="59CF523E">
      <w:pPr>
        <w:snapToGrid w:val="0"/>
        <w:spacing w:line="560" w:lineRule="exact"/>
        <w:ind w:firstLine="640" w:firstLineChars="200"/>
        <w:rPr>
          <w:rFonts w:ascii="仿宋" w:hAnsi="仿宋" w:eastAsia="仿宋"/>
          <w:bCs/>
          <w:sz w:val="32"/>
          <w:szCs w:val="32"/>
        </w:rPr>
      </w:pPr>
      <w:r>
        <w:rPr>
          <w:rFonts w:hint="eastAsia" w:ascii="仿宋" w:hAnsi="仿宋" w:eastAsia="仿宋"/>
          <w:bCs/>
          <w:sz w:val="32"/>
          <w:szCs w:val="32"/>
        </w:rPr>
        <w:t xml:space="preserve"> </w:t>
      </w:r>
      <w:r>
        <w:rPr>
          <w:rFonts w:hint="eastAsia" w:ascii="仿宋" w:hAnsi="仿宋" w:eastAsia="仿宋" w:cs="仿宋"/>
          <w:color w:val="000000"/>
          <w:kern w:val="0"/>
          <w:sz w:val="32"/>
          <w:szCs w:val="32"/>
        </w:rPr>
        <w:t>1.项目概述</w:t>
      </w:r>
    </w:p>
    <w:p w14:paraId="584A1482">
      <w:pPr>
        <w:spacing w:line="560" w:lineRule="exact"/>
        <w:ind w:firstLine="640" w:firstLineChars="200"/>
        <w:outlineLvl w:val="0"/>
        <w:rPr>
          <w:rFonts w:ascii="仿宋" w:hAnsi="仿宋" w:eastAsia="仿宋" w:cs="仿宋"/>
          <w:color w:val="000000"/>
          <w:kern w:val="0"/>
          <w:sz w:val="32"/>
          <w:szCs w:val="32"/>
        </w:rPr>
      </w:pPr>
      <w:r>
        <w:rPr>
          <w:rFonts w:hint="eastAsia" w:ascii="仿宋" w:hAnsi="仿宋" w:eastAsia="仿宋" w:cs="仿宋"/>
          <w:color w:val="000000"/>
          <w:kern w:val="0"/>
          <w:sz w:val="32"/>
          <w:szCs w:val="32"/>
        </w:rPr>
        <w:t>为落实《大连市扩大对外开放积极利用外资若干政策措施》（大委发[2018]26号），进一步优化产业发展环境，增强对外商投资吸引力，营造良好营商环境，大连市商务局制定了《大连市关于外商投资重点产业支持政策的实施细则》（大商务发[2020]55号）、《大连市关于外商投资设立总部支持政策的实施细则》（大商务发[2020]56号）和《大连市关于新设外资研发中心申报开办补助的实施细则》（大商务发[2020]57号），对符合政策的外资企业进行奖励。高新区配合市商务局工作，广泛宣传奖励政策，积极组织园区外资企业申报，并按照市商务局的审核结果和资金分配方案，兑现市区两级奖励资金。</w:t>
      </w:r>
    </w:p>
    <w:p w14:paraId="5BF7CE4F">
      <w:pPr>
        <w:spacing w:line="56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2.立项依据</w:t>
      </w:r>
    </w:p>
    <w:p w14:paraId="00E3205C">
      <w:pPr>
        <w:spacing w:line="560" w:lineRule="exact"/>
        <w:ind w:firstLine="640" w:firstLineChars="200"/>
        <w:outlineLvl w:val="0"/>
        <w:rPr>
          <w:rFonts w:ascii="仿宋" w:hAnsi="仿宋" w:eastAsia="仿宋" w:cs="仿宋"/>
          <w:color w:val="000000"/>
          <w:kern w:val="0"/>
          <w:sz w:val="32"/>
          <w:szCs w:val="32"/>
        </w:rPr>
      </w:pPr>
      <w:r>
        <w:rPr>
          <w:rFonts w:hint="eastAsia" w:ascii="仿宋" w:hAnsi="仿宋" w:eastAsia="仿宋" w:cs="仿宋"/>
          <w:color w:val="000000"/>
          <w:kern w:val="0"/>
          <w:sz w:val="32"/>
          <w:szCs w:val="32"/>
        </w:rPr>
        <w:t>(1).《大连市扩大对外开放积极利用外资若干政策措施》（大委发[2018]26号）</w:t>
      </w:r>
    </w:p>
    <w:p w14:paraId="7891D3D4">
      <w:pPr>
        <w:spacing w:line="560" w:lineRule="exact"/>
        <w:ind w:firstLine="640" w:firstLineChars="200"/>
        <w:outlineLvl w:val="0"/>
        <w:rPr>
          <w:rFonts w:ascii="仿宋" w:hAnsi="仿宋" w:eastAsia="仿宋" w:cs="仿宋"/>
          <w:color w:val="000000"/>
          <w:kern w:val="0"/>
          <w:sz w:val="32"/>
          <w:szCs w:val="32"/>
        </w:rPr>
      </w:pPr>
      <w:r>
        <w:rPr>
          <w:rFonts w:hint="eastAsia" w:ascii="仿宋" w:hAnsi="仿宋" w:eastAsia="仿宋" w:cs="仿宋"/>
          <w:color w:val="000000"/>
          <w:kern w:val="0"/>
          <w:sz w:val="32"/>
          <w:szCs w:val="32"/>
        </w:rPr>
        <w:t>(2).《大连市关于外商投资重点产业支持政策的实施细则》（大商务发[2020]55号）、《大连市关于外商投资设立总部支持政策的实施细则》（大商务发[2020]56号）、《大连市关于新设外资研发中心申报开办补助的实施细则》（大商务发[2020]57号）</w:t>
      </w:r>
    </w:p>
    <w:p w14:paraId="290B1E44">
      <w:pPr>
        <w:spacing w:line="560" w:lineRule="exact"/>
        <w:ind w:firstLine="640" w:firstLineChars="200"/>
        <w:outlineLvl w:val="0"/>
        <w:rPr>
          <w:rFonts w:ascii="仿宋" w:hAnsi="仿宋" w:eastAsia="仿宋" w:cs="仿宋"/>
          <w:color w:val="000000"/>
          <w:kern w:val="0"/>
          <w:sz w:val="32"/>
          <w:szCs w:val="32"/>
        </w:rPr>
      </w:pPr>
      <w:r>
        <w:rPr>
          <w:rFonts w:hint="eastAsia" w:ascii="仿宋" w:hAnsi="仿宋" w:eastAsia="仿宋" w:cs="仿宋"/>
          <w:color w:val="000000"/>
          <w:kern w:val="0"/>
          <w:sz w:val="32"/>
          <w:szCs w:val="32"/>
        </w:rPr>
        <w:t>3.实施主体</w:t>
      </w:r>
    </w:p>
    <w:p w14:paraId="47D0ED96">
      <w:pPr>
        <w:spacing w:line="56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大连市商务局、大连高新区管委会</w:t>
      </w:r>
    </w:p>
    <w:p w14:paraId="21E43276">
      <w:pPr>
        <w:spacing w:line="56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4.实施方案</w:t>
      </w:r>
    </w:p>
    <w:p w14:paraId="5F456DAE">
      <w:pPr>
        <w:spacing w:line="56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高新区按照大连市商务局下发的通知要求，组织园区内符合政策的外资企业进行申报并对申报材料进行初审。市商务局委托第三方评审机构对申报材料进行复审，根据最终评审结果形成资金分配方案，向社会公示。市区两级财政按照资金分配方案向获奖企业兑现奖励资金。</w:t>
      </w:r>
    </w:p>
    <w:p w14:paraId="13E3FFE0">
      <w:pPr>
        <w:spacing w:line="56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5.实施周期</w:t>
      </w:r>
    </w:p>
    <w:p w14:paraId="3025B658">
      <w:pPr>
        <w:spacing w:line="56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根据大连市商务局的具体安排而定。</w:t>
      </w:r>
    </w:p>
    <w:p w14:paraId="0410A13D">
      <w:pPr>
        <w:spacing w:line="56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6.年度预算安排</w:t>
      </w:r>
      <w:r>
        <w:rPr>
          <w:rFonts w:ascii="仿宋" w:hAnsi="仿宋" w:eastAsia="仿宋" w:cs="仿宋"/>
          <w:color w:val="000000"/>
          <w:kern w:val="0"/>
          <w:sz w:val="32"/>
          <w:szCs w:val="32"/>
        </w:rPr>
        <w:tab/>
      </w:r>
    </w:p>
    <w:p w14:paraId="2244B09A">
      <w:pPr>
        <w:spacing w:line="56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根据资金分配方案，安排区级配套资金。</w:t>
      </w:r>
    </w:p>
    <w:p w14:paraId="720F6034">
      <w:pPr>
        <w:spacing w:line="560" w:lineRule="exact"/>
        <w:rPr>
          <w:rFonts w:ascii="仿宋" w:hAnsi="仿宋" w:eastAsia="仿宋" w:cs="仿宋"/>
          <w:color w:val="FF0000"/>
          <w:kern w:val="0"/>
          <w:sz w:val="32"/>
          <w:szCs w:val="32"/>
        </w:rPr>
      </w:pPr>
    </w:p>
    <w:p w14:paraId="0211F2A3">
      <w:pPr>
        <w:widowControl/>
        <w:spacing w:line="56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第三部分</w:t>
      </w:r>
      <w:r>
        <w:rPr>
          <w:rFonts w:ascii="仿宋" w:hAnsi="仿宋" w:eastAsia="仿宋" w:cs="仿宋"/>
          <w:color w:val="000000"/>
          <w:kern w:val="0"/>
          <w:sz w:val="32"/>
          <w:szCs w:val="32"/>
        </w:rPr>
        <w:t xml:space="preserve"> </w:t>
      </w:r>
      <w:r>
        <w:rPr>
          <w:rFonts w:hint="eastAsia" w:ascii="仿宋" w:hAnsi="仿宋" w:eastAsia="仿宋" w:cs="仿宋"/>
          <w:color w:val="000000"/>
          <w:kern w:val="0"/>
          <w:sz w:val="32"/>
          <w:szCs w:val="32"/>
        </w:rPr>
        <w:t>名词解释</w:t>
      </w:r>
    </w:p>
    <w:p w14:paraId="70CCDDC1">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1.</w:t>
      </w:r>
      <w:r>
        <w:rPr>
          <w:rFonts w:hint="eastAsia" w:ascii="仿宋" w:hAnsi="仿宋" w:eastAsia="仿宋" w:cs="仿宋"/>
          <w:color w:val="000000"/>
          <w:kern w:val="0"/>
          <w:sz w:val="32"/>
          <w:szCs w:val="32"/>
        </w:rPr>
        <w:t>财政拨款收入：指市财政当年拨付的资金。</w:t>
      </w:r>
      <w:r>
        <w:rPr>
          <w:rFonts w:ascii="仿宋" w:hAnsi="仿宋" w:eastAsia="仿宋" w:cs="仿宋"/>
          <w:color w:val="000000"/>
          <w:kern w:val="0"/>
          <w:sz w:val="32"/>
          <w:szCs w:val="32"/>
        </w:rPr>
        <w:t xml:space="preserve"> </w:t>
      </w:r>
    </w:p>
    <w:p w14:paraId="567BEA3B">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2.</w:t>
      </w:r>
      <w:r>
        <w:rPr>
          <w:rFonts w:hint="eastAsia" w:ascii="仿宋" w:hAnsi="仿宋" w:eastAsia="仿宋" w:cs="仿宋"/>
          <w:color w:val="000000"/>
          <w:kern w:val="0"/>
          <w:sz w:val="32"/>
          <w:szCs w:val="32"/>
        </w:rPr>
        <w:t>其他收入：指除“财政拨款收入”、“财政专户拨款收入”等以外的收入，包括事业单位经营性收入、上级补助收入、附属单位上缴收入等。</w:t>
      </w:r>
    </w:p>
    <w:p w14:paraId="2B1B220B">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3.</w:t>
      </w:r>
      <w:r>
        <w:rPr>
          <w:rFonts w:hint="eastAsia" w:ascii="仿宋" w:hAnsi="仿宋" w:eastAsia="仿宋" w:cs="仿宋"/>
          <w:color w:val="000000"/>
          <w:kern w:val="0"/>
          <w:sz w:val="32"/>
          <w:szCs w:val="32"/>
        </w:rPr>
        <w:t>基本支出：指为保障机构正常运转、完成日常工作任务而发生的人员支出和公用支出。</w:t>
      </w:r>
    </w:p>
    <w:p w14:paraId="4B7433B4">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4.</w:t>
      </w:r>
      <w:r>
        <w:rPr>
          <w:rFonts w:hint="eastAsia" w:ascii="仿宋" w:hAnsi="仿宋" w:eastAsia="仿宋" w:cs="仿宋"/>
          <w:color w:val="000000"/>
          <w:kern w:val="0"/>
          <w:sz w:val="32"/>
          <w:szCs w:val="32"/>
        </w:rPr>
        <w:t>项目支出：指在基本支出之外为完成特定行政任务和事业发展目标所发生的支出。</w:t>
      </w:r>
    </w:p>
    <w:p w14:paraId="49C32750">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5.</w:t>
      </w:r>
      <w:r>
        <w:rPr>
          <w:rFonts w:hint="eastAsia" w:ascii="仿宋" w:hAnsi="仿宋" w:eastAsia="仿宋" w:cs="仿宋"/>
          <w:color w:val="000000"/>
          <w:kern w:val="0"/>
          <w:sz w:val="32"/>
          <w:szCs w:val="32"/>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8413B1B">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6.</w:t>
      </w:r>
      <w:r>
        <w:rPr>
          <w:rFonts w:hint="eastAsia" w:ascii="仿宋" w:hAnsi="仿宋" w:eastAsia="仿宋" w:cs="仿宋"/>
          <w:color w:val="000000"/>
          <w:kern w:val="0"/>
          <w:sz w:val="32"/>
          <w:szCs w:val="32"/>
        </w:rPr>
        <w:t>一般公共服务（类）财政事务（款）行政运行（项）：反映行政单位（包括实行公务员管理的事业单位）的基本支出。</w:t>
      </w:r>
    </w:p>
    <w:p w14:paraId="1D612DE1">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7.</w:t>
      </w:r>
      <w:r>
        <w:rPr>
          <w:rFonts w:hint="eastAsia" w:ascii="仿宋" w:hAnsi="仿宋" w:eastAsia="仿宋" w:cs="仿宋"/>
          <w:color w:val="000000"/>
          <w:kern w:val="0"/>
          <w:sz w:val="32"/>
          <w:szCs w:val="32"/>
        </w:rPr>
        <w:t>一般公共服务（类）财政事务（款）一般行政管理事务（项）：反映行政单位（包括实行公务员管理的事业单位）未单独设置项级科目的其他项目支出。</w:t>
      </w:r>
    </w:p>
    <w:p w14:paraId="0691D676">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8</w:t>
      </w:r>
      <w:r>
        <w:rPr>
          <w:rFonts w:hint="eastAsia" w:ascii="仿宋" w:hAnsi="仿宋" w:eastAsia="仿宋" w:cs="仿宋"/>
          <w:color w:val="000000"/>
          <w:kern w:val="0"/>
          <w:sz w:val="32"/>
          <w:szCs w:val="32"/>
        </w:rPr>
        <w:t>一般公共服务（类）财政事务（款）信息化建设（项）：反映财政部门用于“金财工程”等信息化建设方面的支出。</w:t>
      </w:r>
    </w:p>
    <w:p w14:paraId="4B34B26B">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9.</w:t>
      </w:r>
      <w:r>
        <w:rPr>
          <w:rFonts w:hint="eastAsia" w:ascii="仿宋" w:hAnsi="仿宋" w:eastAsia="仿宋" w:cs="仿宋"/>
          <w:color w:val="000000"/>
          <w:kern w:val="0"/>
          <w:sz w:val="32"/>
          <w:szCs w:val="32"/>
        </w:rPr>
        <w:t>一般公共服务（类）财政事务（款）财政委托业务支出（项）：反映财政委托评审机构进行财政投资评审和委托建设银行等机构代理业务发生的支出。</w:t>
      </w:r>
    </w:p>
    <w:p w14:paraId="28822975">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 xml:space="preserve">10. </w:t>
      </w:r>
      <w:r>
        <w:rPr>
          <w:rFonts w:hint="eastAsia" w:ascii="仿宋" w:hAnsi="仿宋" w:eastAsia="仿宋" w:cs="仿宋"/>
          <w:color w:val="000000"/>
          <w:kern w:val="0"/>
          <w:sz w:val="32"/>
          <w:szCs w:val="32"/>
        </w:rPr>
        <w:t>一般公共服务（类）财政事务（款）事业运行（项）：反映事业单位的基本支出，不包括行政单位（包括实行公务员管理的事业单位）后勤服务中心、医务室等附属事业单位。</w:t>
      </w:r>
    </w:p>
    <w:p w14:paraId="6A2EFD17">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 xml:space="preserve">11. </w:t>
      </w:r>
      <w:r>
        <w:rPr>
          <w:rFonts w:hint="eastAsia" w:ascii="仿宋" w:hAnsi="仿宋" w:eastAsia="仿宋" w:cs="仿宋"/>
          <w:color w:val="000000"/>
          <w:kern w:val="0"/>
          <w:sz w:val="32"/>
          <w:szCs w:val="32"/>
        </w:rPr>
        <w:t>一般公共服务（类）财政事务（款）其他财政事务支出（项）：反映其他财政事务方面的支出。</w:t>
      </w:r>
    </w:p>
    <w:p w14:paraId="490CA38B">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12</w:t>
      </w:r>
      <w:r>
        <w:rPr>
          <w:rFonts w:hint="eastAsia" w:ascii="仿宋" w:hAnsi="仿宋" w:eastAsia="仿宋" w:cs="仿宋"/>
          <w:color w:val="000000"/>
          <w:kern w:val="0"/>
          <w:sz w:val="32"/>
          <w:szCs w:val="32"/>
        </w:rPr>
        <w:t>．教育支出（类）其他教育支出（款）其他教育支出（项）：反映其他用于教育方面的支出。</w:t>
      </w:r>
    </w:p>
    <w:p w14:paraId="569F05FD">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 xml:space="preserve">13. </w:t>
      </w:r>
      <w:r>
        <w:rPr>
          <w:rFonts w:hint="eastAsia" w:ascii="仿宋" w:hAnsi="仿宋" w:eastAsia="仿宋" w:cs="仿宋"/>
          <w:color w:val="000000"/>
          <w:kern w:val="0"/>
          <w:sz w:val="32"/>
          <w:szCs w:val="32"/>
        </w:rPr>
        <w:t>社会保障和就业（类）行政事业单位离退休（款）归口管理的行政单位离退休（项）：反映实行归口管理的行政单位（包括实行公务员管理的事业单位）开支的离退休经费。</w:t>
      </w:r>
    </w:p>
    <w:p w14:paraId="102F7D57">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 xml:space="preserve">14. </w:t>
      </w:r>
      <w:r>
        <w:rPr>
          <w:rFonts w:hint="eastAsia" w:ascii="仿宋" w:hAnsi="仿宋" w:eastAsia="仿宋" w:cs="仿宋"/>
          <w:color w:val="000000"/>
          <w:kern w:val="0"/>
          <w:sz w:val="32"/>
          <w:szCs w:val="32"/>
        </w:rPr>
        <w:t>社会保障和就业（类）行政事业单位离退休（款）机关事业单位基本养老保险缴费支出（项）：反映机关事业单位实施养老保险制度由单位缴纳的基本养老保险费支出。</w:t>
      </w:r>
    </w:p>
    <w:p w14:paraId="7DC7C1D8">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15.</w:t>
      </w:r>
      <w:r>
        <w:rPr>
          <w:rFonts w:hint="eastAsia" w:ascii="仿宋" w:hAnsi="仿宋" w:eastAsia="仿宋" w:cs="仿宋"/>
          <w:color w:val="000000"/>
          <w:kern w:val="0"/>
          <w:sz w:val="32"/>
          <w:szCs w:val="32"/>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AF5B735">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16.</w:t>
      </w:r>
      <w:r>
        <w:rPr>
          <w:rFonts w:hint="eastAsia" w:ascii="仿宋" w:hAnsi="仿宋" w:eastAsia="仿宋" w:cs="仿宋"/>
          <w:color w:val="000000"/>
          <w:kern w:val="0"/>
          <w:sz w:val="32"/>
          <w:szCs w:val="32"/>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33F6F6F">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17.</w:t>
      </w:r>
      <w:r>
        <w:rPr>
          <w:rFonts w:hint="eastAsia" w:ascii="仿宋" w:hAnsi="仿宋" w:eastAsia="仿宋" w:cs="仿宋"/>
          <w:color w:val="000000"/>
          <w:kern w:val="0"/>
          <w:sz w:val="32"/>
          <w:szCs w:val="32"/>
        </w:rPr>
        <w:t>住房保障（类）住房改革（款）住房公积金（项）：反映行政事业单位按人力资源和社会保障部、财政部规定的基本工资和津贴补贴以及规定比例为职工缴纳的住房公积金。</w:t>
      </w:r>
    </w:p>
    <w:p w14:paraId="581BEE98">
      <w:pPr>
        <w:widowControl/>
        <w:spacing w:line="560" w:lineRule="exact"/>
        <w:ind w:firstLine="640" w:firstLineChars="200"/>
        <w:jc w:val="left"/>
        <w:rPr>
          <w:rFonts w:ascii="仿宋" w:hAnsi="仿宋" w:eastAsia="仿宋" w:cs="仿宋"/>
          <w:color w:val="000000"/>
          <w:kern w:val="0"/>
          <w:sz w:val="32"/>
          <w:szCs w:val="32"/>
        </w:rPr>
      </w:pPr>
      <w:r>
        <w:rPr>
          <w:rFonts w:ascii="仿宋" w:hAnsi="仿宋" w:eastAsia="仿宋" w:cs="仿宋"/>
          <w:color w:val="000000"/>
          <w:kern w:val="0"/>
          <w:sz w:val="32"/>
          <w:szCs w:val="32"/>
        </w:rPr>
        <w:t>18.</w:t>
      </w:r>
      <w:r>
        <w:rPr>
          <w:rFonts w:hint="eastAsia" w:ascii="仿宋" w:hAnsi="仿宋" w:eastAsia="仿宋" w:cs="仿宋"/>
          <w:color w:val="000000"/>
          <w:kern w:val="0"/>
          <w:sz w:val="32"/>
          <w:szCs w:val="32"/>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0267215C">
      <w:pPr>
        <w:widowControl/>
        <w:spacing w:line="560" w:lineRule="exact"/>
        <w:ind w:firstLine="640" w:firstLineChars="200"/>
        <w:jc w:val="left"/>
        <w:rPr>
          <w:rFonts w:ascii="仿宋" w:hAnsi="仿宋" w:eastAsia="仿宋" w:cs="仿宋"/>
          <w:color w:val="000000"/>
          <w:kern w:val="0"/>
          <w:sz w:val="32"/>
          <w:szCs w:val="32"/>
        </w:rPr>
      </w:pPr>
    </w:p>
    <w:p w14:paraId="4C332D16">
      <w:pPr>
        <w:spacing w:line="560" w:lineRule="exact"/>
        <w:rPr>
          <w:rFonts w:ascii="仿宋" w:hAnsi="仿宋" w:eastAsia="仿宋"/>
          <w:sz w:val="32"/>
          <w:szCs w:val="32"/>
        </w:rPr>
      </w:pPr>
      <w:r>
        <w:rPr>
          <w:rFonts w:ascii="仿宋" w:hAnsi="仿宋" w:eastAsia="仿宋" w:cs="仿宋"/>
          <w:sz w:val="32"/>
          <w:szCs w:val="32"/>
        </w:rPr>
        <w:t xml:space="preserve">                               </w:t>
      </w:r>
      <w:r>
        <w:rPr>
          <w:rFonts w:hint="eastAsia" w:ascii="仿宋" w:hAnsi="仿宋" w:eastAsia="仿宋" w:cs="仿宋"/>
          <w:sz w:val="32"/>
          <w:szCs w:val="32"/>
        </w:rPr>
        <w:t xml:space="preserve">   </w:t>
      </w:r>
      <w:r>
        <w:rPr>
          <w:rFonts w:ascii="仿宋" w:hAnsi="仿宋" w:eastAsia="仿宋" w:cs="仿宋"/>
          <w:sz w:val="32"/>
          <w:szCs w:val="32"/>
        </w:rPr>
        <w:t xml:space="preserve">  202</w:t>
      </w:r>
      <w:r>
        <w:rPr>
          <w:rFonts w:hint="eastAsia" w:ascii="仿宋" w:hAnsi="仿宋" w:eastAsia="仿宋" w:cs="仿宋"/>
          <w:sz w:val="32"/>
          <w:szCs w:val="32"/>
        </w:rPr>
        <w:t>2年</w:t>
      </w:r>
      <w:r>
        <w:rPr>
          <w:rFonts w:hint="eastAsia" w:ascii="仿宋" w:hAnsi="仿宋" w:eastAsia="仿宋" w:cs="仿宋"/>
          <w:sz w:val="32"/>
          <w:szCs w:val="32"/>
          <w:lang w:val="en-US" w:eastAsia="zh-CN"/>
        </w:rPr>
        <w:t>2</w:t>
      </w:r>
      <w:r>
        <w:rPr>
          <w:rFonts w:hint="eastAsia" w:ascii="仿宋" w:hAnsi="仿宋" w:eastAsia="仿宋" w:cs="仿宋"/>
          <w:sz w:val="32"/>
          <w:szCs w:val="32"/>
        </w:rPr>
        <w:t>月1</w:t>
      </w:r>
      <w:r>
        <w:rPr>
          <w:rFonts w:hint="eastAsia" w:ascii="仿宋" w:hAnsi="仿宋" w:eastAsia="仿宋" w:cs="仿宋"/>
          <w:sz w:val="32"/>
          <w:szCs w:val="32"/>
          <w:lang w:val="en-US" w:eastAsia="zh-CN"/>
        </w:rPr>
        <w:t>7</w:t>
      </w:r>
      <w:r>
        <w:rPr>
          <w:rFonts w:hint="eastAsia" w:ascii="仿宋" w:hAnsi="仿宋" w:eastAsia="仿宋" w:cs="仿宋"/>
          <w:sz w:val="32"/>
          <w:szCs w:val="32"/>
        </w:rPr>
        <w:t>日</w:t>
      </w:r>
    </w:p>
    <w:sectPr>
      <w:pgSz w:w="11906" w:h="16838"/>
      <w:pgMar w:top="1531" w:right="1797" w:bottom="113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8CD"/>
    <w:rsid w:val="005A1F21"/>
    <w:rsid w:val="005A52B2"/>
    <w:rsid w:val="006228CD"/>
    <w:rsid w:val="00741B15"/>
    <w:rsid w:val="00C07D43"/>
    <w:rsid w:val="49440975"/>
    <w:rsid w:val="4AB35C9A"/>
    <w:rsid w:val="5D336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qFormat/>
    <w:locked/>
    <w:uiPriority w:val="99"/>
    <w:rPr>
      <w:rFonts w:ascii="Times New Roman" w:hAnsi="Times New Roman" w:eastAsia="宋体" w:cs="Times New Roman"/>
      <w:sz w:val="18"/>
      <w:szCs w:val="18"/>
    </w:rPr>
  </w:style>
  <w:style w:type="character" w:customStyle="1" w:styleId="7">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3659</Words>
  <Characters>3835</Characters>
  <Lines>27</Lines>
  <Paragraphs>7</Paragraphs>
  <TotalTime>0</TotalTime>
  <ScaleCrop>false</ScaleCrop>
  <LinksUpToDate>false</LinksUpToDate>
  <CharactersWithSpaces>3882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2022-04-08T02:14:00Z</dcterms:created>
  <dc:creator>Custmor</dc:creator>
  <cp:lastModifiedBy>凉拌明玉子</cp:lastModifiedBy>
  <cp:lastPrinted>2022-03-21T05:32:00Z</cp:lastPrinted>
  <dcterms:modified xsi:type="dcterms:W3CDTF">2025-12-26T01:51:12Z</dcterms:modified>
  <dc:title>高新区投资促进局2022年部门预算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31D11C84535348EB9B6D133B4497EE28</vt:lpwstr>
  </property>
  <property fmtid="{D5CDD505-2E9C-101B-9397-08002B2CF9AE}" pid="4" name="KSOTemplateDocerSaveRecord">
    <vt:lpwstr>eyJoZGlkIjoiNzMzNGFhYTQwZDVjNjVmMDFlMTAxYjIwOTljNDhhZWQiLCJ1c2VySWQiOiIyMDEzOTMzNTkifQ==</vt:lpwstr>
  </property>
</Properties>
</file>