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9735CB">
      <w:pPr>
        <w:spacing w:line="600" w:lineRule="exact"/>
        <w:rPr>
          <w:rFonts w:ascii="仿宋_GB2312" w:eastAsia="仿宋_GB2312"/>
          <w:sz w:val="32"/>
          <w:szCs w:val="32"/>
        </w:rPr>
      </w:pPr>
      <w:bookmarkStart w:id="0" w:name="_GoBack"/>
      <w:bookmarkEnd w:id="0"/>
    </w:p>
    <w:p w14:paraId="43BB62D2">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高新区英歌石科学城管理办公室</w:t>
      </w:r>
      <w:r>
        <w:rPr>
          <w:rFonts w:ascii="仿宋" w:hAnsi="仿宋" w:eastAsia="仿宋" w:cs="仿宋"/>
          <w:b/>
          <w:bCs/>
          <w:color w:val="000000"/>
          <w:kern w:val="0"/>
          <w:sz w:val="36"/>
          <w:szCs w:val="36"/>
        </w:rPr>
        <w:t>202</w:t>
      </w:r>
      <w:r>
        <w:rPr>
          <w:rFonts w:hint="eastAsia" w:ascii="仿宋" w:hAnsi="仿宋" w:eastAsia="仿宋" w:cs="仿宋"/>
          <w:b/>
          <w:bCs/>
          <w:color w:val="000000"/>
          <w:kern w:val="0"/>
          <w:sz w:val="36"/>
          <w:szCs w:val="36"/>
        </w:rPr>
        <w:t>2年部门预算</w:t>
      </w:r>
    </w:p>
    <w:p w14:paraId="6ECADA7A">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66F1823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39F98BF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2A22703B">
      <w:pPr>
        <w:spacing w:line="6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（一）负责落实科学城的发展战略，参与编制科学城有关产业发展规划、国土空间规划和专项规划，参与项目用地出让策划等工作。</w:t>
      </w:r>
    </w:p>
    <w:p w14:paraId="47CAF532">
      <w:pPr>
        <w:spacing w:line="6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（二）负责拟定科学城规划范围内开发建设目标及实施策略，拟定中长期建设规划和年度实施计划，并报批实施。</w:t>
      </w:r>
    </w:p>
    <w:p w14:paraId="412A8964">
      <w:pPr>
        <w:spacing w:line="6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（三）负责搭建并运作重点区域开发建设决策咨询专家智库，引进国内外高端咨询研究机构，为重点区域开发建设提供技术支持。</w:t>
      </w:r>
    </w:p>
    <w:p w14:paraId="283255B6">
      <w:pPr>
        <w:spacing w:line="6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（四）负责开展重点区域开发建设专项课题研究，开展重点项目的策划及推介等工作。</w:t>
      </w:r>
    </w:p>
    <w:p w14:paraId="542EB160">
      <w:pPr>
        <w:spacing w:line="6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（五）统筹重大基础设施、公共服务设施等的规划布局，跟踪、协调、推进重大投资项目建设。</w:t>
      </w:r>
    </w:p>
    <w:p w14:paraId="5EEAAA60">
      <w:pPr>
        <w:spacing w:line="600" w:lineRule="exact"/>
        <w:ind w:firstLine="600" w:firstLineChars="200"/>
        <w:rPr>
          <w:rFonts w:ascii="仿宋" w:hAnsi="仿宋" w:eastAsia="仿宋"/>
          <w:color w:val="000000" w:themeColor="text1"/>
          <w:sz w:val="30"/>
          <w:szCs w:val="30"/>
          <w14:textFill>
            <w14:solidFill>
              <w14:schemeClr w14:val="tx1"/>
            </w14:solidFill>
          </w14:textFill>
        </w:rPr>
      </w:pPr>
      <w:r>
        <w:rPr>
          <w:rFonts w:ascii="仿宋" w:hAnsi="仿宋" w:eastAsia="仿宋"/>
          <w:color w:val="000000" w:themeColor="text1"/>
          <w:sz w:val="30"/>
          <w:szCs w:val="30"/>
          <w14:textFill>
            <w14:solidFill>
              <w14:schemeClr w14:val="tx1"/>
            </w14:solidFill>
          </w14:textFill>
        </w:rPr>
        <w:t>（</w:t>
      </w:r>
      <w:r>
        <w:rPr>
          <w:rFonts w:hint="eastAsia" w:ascii="仿宋" w:hAnsi="仿宋" w:eastAsia="仿宋"/>
          <w:color w:val="000000" w:themeColor="text1"/>
          <w:sz w:val="30"/>
          <w:szCs w:val="30"/>
          <w14:textFill>
            <w14:solidFill>
              <w14:schemeClr w14:val="tx1"/>
            </w14:solidFill>
          </w14:textFill>
        </w:rPr>
        <w:t>六</w:t>
      </w:r>
      <w:r>
        <w:rPr>
          <w:rFonts w:ascii="仿宋" w:hAnsi="仿宋" w:eastAsia="仿宋"/>
          <w:color w:val="000000" w:themeColor="text1"/>
          <w:sz w:val="30"/>
          <w:szCs w:val="30"/>
          <w14:textFill>
            <w14:solidFill>
              <w14:schemeClr w14:val="tx1"/>
            </w14:solidFill>
          </w14:textFill>
        </w:rPr>
        <w:t>）</w:t>
      </w:r>
      <w:r>
        <w:rPr>
          <w:rFonts w:hint="eastAsia" w:ascii="仿宋" w:hAnsi="仿宋" w:eastAsia="仿宋"/>
          <w:color w:val="000000" w:themeColor="text1"/>
          <w:sz w:val="30"/>
          <w:szCs w:val="30"/>
          <w14:textFill>
            <w14:solidFill>
              <w14:schemeClr w14:val="tx1"/>
            </w14:solidFill>
          </w14:textFill>
        </w:rPr>
        <w:t>负责开发建设期间，各类市政基础设施的管理、运营和维护等工作。</w:t>
      </w:r>
    </w:p>
    <w:p w14:paraId="19DE771C">
      <w:pPr>
        <w:spacing w:line="6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（七）组织协调科学城规划区域内的开发建设、企业管理与服务等工作，根据管委会授权，对本区域各类开发主体进行组织管理和业务指导。</w:t>
      </w:r>
    </w:p>
    <w:p w14:paraId="6F5B3096">
      <w:pPr>
        <w:spacing w:line="6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（八）配合产业部门落实产业政策和招商引资，协调推进重大产业布局和重点产业项目建设，组织开展区内重大产业和重点项目招商引智。</w:t>
      </w:r>
    </w:p>
    <w:p w14:paraId="104FA5BE">
      <w:pPr>
        <w:spacing w:line="6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（九）协调整合各类资源，统筹科学城与当地经济社会的协调发展，开展科学城创新创业、高新技术研发及其成果产业化、科技金融、人才资源、中介组织、知识产权保护等方面的促进和服务工作。</w:t>
      </w:r>
    </w:p>
    <w:p w14:paraId="204AEF5B">
      <w:pPr>
        <w:spacing w:line="6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（十）完成区党工委、管委会交办的其他工作。</w:t>
      </w:r>
    </w:p>
    <w:p w14:paraId="3E68935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3FC8D16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2年英歌石科学城管理办部门预算为本部综合收支计划，无二级单位。</w:t>
      </w:r>
    </w:p>
    <w:p w14:paraId="5261604C">
      <w:pPr>
        <w:widowControl/>
        <w:spacing w:line="330" w:lineRule="atLeast"/>
        <w:ind w:firstLine="600" w:firstLineChars="200"/>
        <w:jc w:val="left"/>
        <w:rPr>
          <w:rFonts w:ascii="仿宋" w:hAnsi="仿宋" w:eastAsia="仿宋" w:cs="仿宋"/>
          <w:color w:val="000000"/>
          <w:kern w:val="0"/>
          <w:sz w:val="30"/>
          <w:szCs w:val="30"/>
        </w:rPr>
      </w:pPr>
    </w:p>
    <w:p w14:paraId="418E4C6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3439738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4635F0F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按照综合预算的原则，本部门所有收入和支出均纳入部门预算管理，无下级预算单位。收入包括：财政拨款收入591.3万元；支出包括：</w:t>
      </w:r>
      <w:r>
        <w:rPr>
          <w:rFonts w:hint="eastAsia" w:ascii="仿宋" w:hAnsi="仿宋" w:eastAsia="仿宋" w:cs="仿宋"/>
          <w:sz w:val="30"/>
          <w:szCs w:val="30"/>
        </w:rPr>
        <w:t>工资福利和对个人家庭补助支出506.4万元，商品和服务支出84.9万元（其中包含项目费用64.7万元）。</w:t>
      </w:r>
      <w:r>
        <w:rPr>
          <w:rFonts w:hint="eastAsia" w:ascii="仿宋" w:hAnsi="仿宋" w:eastAsia="仿宋" w:cs="仿宋"/>
          <w:color w:val="000000"/>
          <w:kern w:val="0"/>
          <w:sz w:val="30"/>
          <w:szCs w:val="30"/>
        </w:rPr>
        <w:t>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21年预算数增加127.7万元，其中</w:t>
      </w:r>
      <w:r>
        <w:rPr>
          <w:rFonts w:hint="eastAsia" w:ascii="仿宋" w:hAnsi="仿宋" w:eastAsia="仿宋" w:cs="仿宋"/>
          <w:sz w:val="30"/>
          <w:szCs w:val="30"/>
        </w:rPr>
        <w:t>工资福利和对个人家庭补助支出增加100.1万元，商品和服务支出增加27.6万元。</w:t>
      </w:r>
    </w:p>
    <w:p w14:paraId="4DFFD9B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4CAA7A9">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本年无“三公”经费，与去年相同。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704CA90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76063CB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机关运行经费包括定额公用经费7万元。</w:t>
      </w:r>
    </w:p>
    <w:p w14:paraId="4758F73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AF708B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219E1CF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E7DA79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49B50A01">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3A1F7B58">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国有资产占有使用情况说明为：截至2021年12月31日，部门（单位）共有车辆0辆；单位价值50万元（含）以上通用设备0台（套）；单位价值100万元以上专用设备0台（套）。</w:t>
      </w:r>
    </w:p>
    <w:p w14:paraId="6EB9B15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29AAA79">
      <w:pPr>
        <w:widowControl/>
        <w:spacing w:line="330" w:lineRule="atLeast"/>
        <w:ind w:firstLine="600" w:firstLineChars="200"/>
        <w:jc w:val="left"/>
        <w:rPr>
          <w:rFonts w:ascii="仿宋" w:hAnsi="仿宋" w:eastAsia="仿宋" w:cs="仿宋"/>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22年，按照“先有绩效，后有预算”原则，本部门共计编制绩效目标6个，预算金额64.7万元，占项目支出预算比重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14:paraId="3BB9C34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八、</w:t>
      </w:r>
      <w:r>
        <w:rPr>
          <w:rFonts w:hint="eastAsia" w:ascii="仿宋" w:hAnsi="仿宋" w:eastAsia="仿宋" w:cs="宋体"/>
          <w:color w:val="000000"/>
          <w:kern w:val="0"/>
          <w:sz w:val="30"/>
          <w:szCs w:val="30"/>
        </w:rPr>
        <w:t>招商差旅费</w:t>
      </w:r>
      <w:r>
        <w:rPr>
          <w:rFonts w:hint="eastAsia" w:ascii="仿宋" w:hAnsi="仿宋" w:eastAsia="仿宋" w:cs="仿宋"/>
          <w:color w:val="000000"/>
          <w:kern w:val="0"/>
          <w:sz w:val="30"/>
          <w:szCs w:val="30"/>
        </w:rPr>
        <w:t>项目情况</w:t>
      </w:r>
    </w:p>
    <w:p w14:paraId="119C167D">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0D4D7375">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英歌石科学城管理办招商差旅费专项资金是英歌石科学城管理办公室为履行部门职能开展招商活动所使用的财政资金，主要包括会务费、参展费、住宿费、交通费等。年度目标是保证本单位招商工作正常有序开展。</w:t>
      </w:r>
    </w:p>
    <w:p w14:paraId="594C5C8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17AA090A">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依据英歌石科学城管理办公室工作职责，项目对履行本单位招商引资、推动产业的发展提高工作效率，完成各项工作任务发挥着必要的作用。</w:t>
      </w:r>
    </w:p>
    <w:p w14:paraId="626BAA96">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52D551D5">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项目具体组织实施的部门为高新区英歌石科学城管理办公室。</w:t>
      </w:r>
    </w:p>
    <w:p w14:paraId="02F63B7B">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6452163C">
      <w:pPr>
        <w:ind w:firstLine="600" w:firstLineChars="200"/>
        <w:outlineLvl w:val="0"/>
        <w:rPr>
          <w:rFonts w:ascii="仿宋" w:hAnsi="仿宋" w:eastAsia="仿宋" w:cs="仿宋_GB2312"/>
          <w:color w:val="333333"/>
          <w:sz w:val="30"/>
          <w:szCs w:val="30"/>
        </w:rPr>
      </w:pPr>
      <w:r>
        <w:rPr>
          <w:rFonts w:hint="eastAsia" w:ascii="仿宋" w:hAnsi="仿宋" w:eastAsia="仿宋" w:cs="仿宋"/>
          <w:color w:val="000000"/>
          <w:kern w:val="0"/>
          <w:sz w:val="30"/>
          <w:szCs w:val="30"/>
        </w:rPr>
        <w:t>项目的主要目标、总体思路是围绕高水平建设科学城、打造国际领先能源策源地，开展招商服务工作，</w:t>
      </w:r>
      <w:r>
        <w:rPr>
          <w:rFonts w:hint="eastAsia" w:ascii="仿宋" w:hAnsi="仿宋" w:eastAsia="仿宋" w:cs="仿宋_GB2312"/>
          <w:color w:val="333333"/>
          <w:sz w:val="30"/>
          <w:szCs w:val="30"/>
        </w:rPr>
        <w:t>提高招商引资质量和水平。</w:t>
      </w:r>
    </w:p>
    <w:p w14:paraId="3F21D5F0">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步骤和计划</w:t>
      </w:r>
    </w:p>
    <w:p w14:paraId="6D080555">
      <w:pPr>
        <w:numPr>
          <w:ilvl w:val="0"/>
          <w:numId w:val="1"/>
        </w:num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制定工作安排</w:t>
      </w:r>
    </w:p>
    <w:p w14:paraId="2AC8D9F1">
      <w:pPr>
        <w:ind w:left="315" w:left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年初制定详细的工作计划，按时间节点稳步推进，确保年度各项工作有条不紊地开展。</w:t>
      </w:r>
    </w:p>
    <w:p w14:paraId="0E2C7D63">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（2）规范资金预算编制及使用</w:t>
      </w:r>
    </w:p>
    <w:p w14:paraId="10CA457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一是严格按照部门申请、财政审核的程序，填报专项资金预算表、明确申请项目的内容和金额、实施方案等。</w:t>
      </w:r>
    </w:p>
    <w:p w14:paraId="3FCFC72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二是实行专款专用，明确招商差旅费专项资金期限。</w:t>
      </w:r>
    </w:p>
    <w:p w14:paraId="4C97AF25">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（3）组织项目实施</w:t>
      </w:r>
    </w:p>
    <w:p w14:paraId="42D4B12B">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按照指定的工作计划，推动各项工作开展。</w:t>
      </w:r>
    </w:p>
    <w:p w14:paraId="22AFC4AF">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3C6D39A4">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项目起止时间为2022年1月1日到2022年12月31日。</w:t>
      </w:r>
    </w:p>
    <w:p w14:paraId="5881BB4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4F384CFF">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2022年拟安排该项目一般公共预算10万元。</w:t>
      </w:r>
    </w:p>
    <w:p w14:paraId="444EE435">
      <w:pPr>
        <w:widowControl/>
        <w:spacing w:line="330" w:lineRule="atLeast"/>
        <w:jc w:val="left"/>
        <w:rPr>
          <w:rFonts w:ascii="仿宋" w:hAnsi="仿宋" w:eastAsia="仿宋" w:cs="仿宋"/>
          <w:kern w:val="0"/>
          <w:sz w:val="30"/>
          <w:szCs w:val="30"/>
        </w:rPr>
      </w:pPr>
    </w:p>
    <w:p w14:paraId="3E6EAD2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5B5162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49D85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33EED1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4326E5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6D26214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084D12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7969C05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7530B73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6366F51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FEAEE1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84C11A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97A364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2694A4E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218309F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2918B58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EABBA3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EF110D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0778103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40BB9DA8">
      <w:pPr>
        <w:widowControl/>
        <w:spacing w:line="330" w:lineRule="atLeast"/>
        <w:ind w:firstLine="600" w:firstLineChars="200"/>
        <w:jc w:val="left"/>
        <w:rPr>
          <w:rFonts w:ascii="仿宋" w:hAnsi="仿宋" w:eastAsia="仿宋" w:cs="仿宋"/>
          <w:color w:val="000000"/>
          <w:kern w:val="0"/>
          <w:sz w:val="30"/>
          <w:szCs w:val="30"/>
        </w:rPr>
      </w:pPr>
    </w:p>
    <w:p w14:paraId="4DEED5F3">
      <w:pPr>
        <w:widowControl/>
        <w:spacing w:line="330" w:lineRule="atLeast"/>
        <w:ind w:firstLine="600" w:firstLineChars="200"/>
        <w:jc w:val="left"/>
        <w:rPr>
          <w:rFonts w:ascii="仿宋" w:hAnsi="仿宋" w:eastAsia="仿宋" w:cs="仿宋"/>
          <w:color w:val="000000"/>
          <w:kern w:val="0"/>
          <w:sz w:val="30"/>
          <w:szCs w:val="30"/>
        </w:rPr>
      </w:pPr>
    </w:p>
    <w:p w14:paraId="57FD0AD7">
      <w:pPr>
        <w:widowControl/>
        <w:tabs>
          <w:tab w:val="left" w:pos="4965"/>
        </w:tabs>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ab/>
      </w:r>
    </w:p>
    <w:p w14:paraId="3AF276F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2年2月17日</w:t>
      </w:r>
    </w:p>
    <w:p w14:paraId="6B50DB37">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895050"/>
    <w:multiLevelType w:val="singleLevel"/>
    <w:tmpl w:val="2889505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060"/>
    <w:rsid w:val="000130C2"/>
    <w:rsid w:val="000179B9"/>
    <w:rsid w:val="00024383"/>
    <w:rsid w:val="0002490A"/>
    <w:rsid w:val="00053280"/>
    <w:rsid w:val="000A55C1"/>
    <w:rsid w:val="000A583A"/>
    <w:rsid w:val="00101BE5"/>
    <w:rsid w:val="00104AD4"/>
    <w:rsid w:val="0010550E"/>
    <w:rsid w:val="00106D7B"/>
    <w:rsid w:val="00114566"/>
    <w:rsid w:val="001473E0"/>
    <w:rsid w:val="00164A2E"/>
    <w:rsid w:val="00165857"/>
    <w:rsid w:val="00172336"/>
    <w:rsid w:val="00172A05"/>
    <w:rsid w:val="00187190"/>
    <w:rsid w:val="001961A4"/>
    <w:rsid w:val="001D37B9"/>
    <w:rsid w:val="001E3E93"/>
    <w:rsid w:val="001F65F0"/>
    <w:rsid w:val="002057F1"/>
    <w:rsid w:val="00234633"/>
    <w:rsid w:val="00243561"/>
    <w:rsid w:val="002470A3"/>
    <w:rsid w:val="002600E0"/>
    <w:rsid w:val="00264775"/>
    <w:rsid w:val="0026590C"/>
    <w:rsid w:val="00265F8B"/>
    <w:rsid w:val="00270A82"/>
    <w:rsid w:val="002B7064"/>
    <w:rsid w:val="002C7BCD"/>
    <w:rsid w:val="003003AA"/>
    <w:rsid w:val="0031248E"/>
    <w:rsid w:val="00326AC2"/>
    <w:rsid w:val="00342DA2"/>
    <w:rsid w:val="00342EE1"/>
    <w:rsid w:val="00343BCF"/>
    <w:rsid w:val="003B405F"/>
    <w:rsid w:val="003B50ED"/>
    <w:rsid w:val="003C65CD"/>
    <w:rsid w:val="003E61DA"/>
    <w:rsid w:val="003F0743"/>
    <w:rsid w:val="003F2AA1"/>
    <w:rsid w:val="003F4DFF"/>
    <w:rsid w:val="004221E9"/>
    <w:rsid w:val="004866F5"/>
    <w:rsid w:val="004902D0"/>
    <w:rsid w:val="004C480D"/>
    <w:rsid w:val="005204EB"/>
    <w:rsid w:val="00544A82"/>
    <w:rsid w:val="005622D1"/>
    <w:rsid w:val="00594FB5"/>
    <w:rsid w:val="005A04CC"/>
    <w:rsid w:val="005A2C11"/>
    <w:rsid w:val="005E344C"/>
    <w:rsid w:val="005E5010"/>
    <w:rsid w:val="005F4DCC"/>
    <w:rsid w:val="00612249"/>
    <w:rsid w:val="00614500"/>
    <w:rsid w:val="00625ED8"/>
    <w:rsid w:val="00630D8F"/>
    <w:rsid w:val="006334AE"/>
    <w:rsid w:val="00652448"/>
    <w:rsid w:val="006541E5"/>
    <w:rsid w:val="00654B9A"/>
    <w:rsid w:val="00655F97"/>
    <w:rsid w:val="00692839"/>
    <w:rsid w:val="00695003"/>
    <w:rsid w:val="006E5E25"/>
    <w:rsid w:val="006E7A46"/>
    <w:rsid w:val="0070345C"/>
    <w:rsid w:val="00721364"/>
    <w:rsid w:val="00753345"/>
    <w:rsid w:val="00753F26"/>
    <w:rsid w:val="00755C7B"/>
    <w:rsid w:val="007712D1"/>
    <w:rsid w:val="007779B1"/>
    <w:rsid w:val="007805EB"/>
    <w:rsid w:val="00793572"/>
    <w:rsid w:val="007B12D0"/>
    <w:rsid w:val="007C5E3C"/>
    <w:rsid w:val="007F23D9"/>
    <w:rsid w:val="008207A6"/>
    <w:rsid w:val="00826E6F"/>
    <w:rsid w:val="008620BC"/>
    <w:rsid w:val="008641D1"/>
    <w:rsid w:val="0088094F"/>
    <w:rsid w:val="008A17E8"/>
    <w:rsid w:val="008B01B8"/>
    <w:rsid w:val="008B7569"/>
    <w:rsid w:val="008F1E42"/>
    <w:rsid w:val="008F383D"/>
    <w:rsid w:val="00906746"/>
    <w:rsid w:val="009244A6"/>
    <w:rsid w:val="00931CAD"/>
    <w:rsid w:val="00941B10"/>
    <w:rsid w:val="00961681"/>
    <w:rsid w:val="009652AA"/>
    <w:rsid w:val="0096696E"/>
    <w:rsid w:val="009848F0"/>
    <w:rsid w:val="00995778"/>
    <w:rsid w:val="009F1015"/>
    <w:rsid w:val="009F229D"/>
    <w:rsid w:val="00A12100"/>
    <w:rsid w:val="00A12672"/>
    <w:rsid w:val="00A150E4"/>
    <w:rsid w:val="00A26A44"/>
    <w:rsid w:val="00A377FD"/>
    <w:rsid w:val="00A41E37"/>
    <w:rsid w:val="00A5215A"/>
    <w:rsid w:val="00A5549A"/>
    <w:rsid w:val="00A60657"/>
    <w:rsid w:val="00A70656"/>
    <w:rsid w:val="00A7639E"/>
    <w:rsid w:val="00A76500"/>
    <w:rsid w:val="00A90379"/>
    <w:rsid w:val="00A924A6"/>
    <w:rsid w:val="00AA7C0B"/>
    <w:rsid w:val="00AB19D9"/>
    <w:rsid w:val="00AE63A2"/>
    <w:rsid w:val="00B217F1"/>
    <w:rsid w:val="00B36CDC"/>
    <w:rsid w:val="00B40E6C"/>
    <w:rsid w:val="00B6202F"/>
    <w:rsid w:val="00B811DB"/>
    <w:rsid w:val="00B81F00"/>
    <w:rsid w:val="00BA3442"/>
    <w:rsid w:val="00BA3929"/>
    <w:rsid w:val="00BC5108"/>
    <w:rsid w:val="00BF1FC6"/>
    <w:rsid w:val="00C044CE"/>
    <w:rsid w:val="00C052C0"/>
    <w:rsid w:val="00C13B73"/>
    <w:rsid w:val="00C14373"/>
    <w:rsid w:val="00C67479"/>
    <w:rsid w:val="00C81913"/>
    <w:rsid w:val="00C91DDE"/>
    <w:rsid w:val="00CD79F7"/>
    <w:rsid w:val="00CF43DA"/>
    <w:rsid w:val="00D03B61"/>
    <w:rsid w:val="00D10236"/>
    <w:rsid w:val="00D176CA"/>
    <w:rsid w:val="00D400F0"/>
    <w:rsid w:val="00D46030"/>
    <w:rsid w:val="00D82E50"/>
    <w:rsid w:val="00DB34AF"/>
    <w:rsid w:val="00DC1136"/>
    <w:rsid w:val="00DD605A"/>
    <w:rsid w:val="00DD67CE"/>
    <w:rsid w:val="00DE00CB"/>
    <w:rsid w:val="00DE1864"/>
    <w:rsid w:val="00DF2079"/>
    <w:rsid w:val="00DF5D3E"/>
    <w:rsid w:val="00E111B7"/>
    <w:rsid w:val="00E160F9"/>
    <w:rsid w:val="00E227E1"/>
    <w:rsid w:val="00E27A7E"/>
    <w:rsid w:val="00E47524"/>
    <w:rsid w:val="00E51060"/>
    <w:rsid w:val="00E679E1"/>
    <w:rsid w:val="00E77C1F"/>
    <w:rsid w:val="00E804EF"/>
    <w:rsid w:val="00E80891"/>
    <w:rsid w:val="00E83869"/>
    <w:rsid w:val="00EA15E7"/>
    <w:rsid w:val="00EB6E55"/>
    <w:rsid w:val="00EE134B"/>
    <w:rsid w:val="00F01060"/>
    <w:rsid w:val="00F04A55"/>
    <w:rsid w:val="00F07BCF"/>
    <w:rsid w:val="00F251AC"/>
    <w:rsid w:val="00F65D26"/>
    <w:rsid w:val="00F713C4"/>
    <w:rsid w:val="00F76F83"/>
    <w:rsid w:val="00F93AEB"/>
    <w:rsid w:val="00F94B86"/>
    <w:rsid w:val="00FA22F8"/>
    <w:rsid w:val="00FC29FE"/>
    <w:rsid w:val="00FC5228"/>
    <w:rsid w:val="00FD042E"/>
    <w:rsid w:val="00FD66BE"/>
    <w:rsid w:val="00FD7251"/>
    <w:rsid w:val="3B4A11B0"/>
    <w:rsid w:val="6CD2775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2865</Words>
  <Characters>2963</Characters>
  <Lines>23</Lines>
  <Paragraphs>6</Paragraphs>
  <TotalTime>1</TotalTime>
  <ScaleCrop>false</ScaleCrop>
  <LinksUpToDate>false</LinksUpToDate>
  <CharactersWithSpaces>3231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2022-04-07T07:06:00Z</dcterms:created>
  <dc:creator>Custmor</dc:creator>
  <cp:lastModifiedBy>凉拌明玉子</cp:lastModifiedBy>
  <cp:lastPrinted>2018-04-27T03:41:00Z</cp:lastPrinted>
  <dcterms:modified xsi:type="dcterms:W3CDTF">2025-12-26T01:52:17Z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07CAD931BB5D4317ACB0EBD8C5B63405</vt:lpwstr>
  </property>
  <property fmtid="{D5CDD505-2E9C-101B-9397-08002B2CF9AE}" pid="4" name="KSOTemplateDocerSaveRecord">
    <vt:lpwstr>eyJoZGlkIjoiNzMzNGFhYTQwZDVjNjVmMDFlMTAxYjIwOTljNDhhZWQiLCJ1c2VySWQiOiIyMDEzOTMzNTkifQ==</vt:lpwstr>
  </property>
</Properties>
</file>