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93F01">
      <w:pPr>
        <w:spacing w:line="600" w:lineRule="exact"/>
        <w:rPr>
          <w:rFonts w:ascii="仿宋_GB2312" w:eastAsia="仿宋_GB2312"/>
          <w:sz w:val="32"/>
          <w:szCs w:val="32"/>
        </w:rPr>
      </w:pPr>
      <w:bookmarkStart w:id="2" w:name="_GoBack"/>
      <w:bookmarkEnd w:id="2"/>
    </w:p>
    <w:p w14:paraId="2ABCF066">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大连高新技术产业园区城市建设事务服务中心</w:t>
      </w:r>
    </w:p>
    <w:p w14:paraId="05B07DF8">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72015A0F">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284BF5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7FCF9EF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29B7A1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依据管委会批准的土地储备、出让计划和有关规定，开展土地储备资源的调查、统计工作，并对国有存量土地及其他需要储备的土地进行收购储备；根据管委会有关规定，负责对已收储的土地按照规划和出让要求，进行前期开发、保护、管理和临时利用；根据管委会有关规定，负责对区本级直接收储项目进行成本核算，对拟出让的宗地进行地价评估、测算，并会同有关部门承担区本级土地储备、出让相关资金的筹措和管理工作；负责协调组织全区土地储备供应项目的招商引资工作；负责对已收储入库的国有土地、房屋等国有资产实施管理；负责收集、整理土地储备信息资料，为土地储备、出让及房地产市场宏观调控提供决策依据；负责辖区内国有建设用地使用权的招标、拍卖、挂牌交易等工作；负责储备方案、计划、手续办理、成本审核、收而未供土地临时利用管理等工作。</w:t>
      </w:r>
    </w:p>
    <w:p w14:paraId="2F13355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负责为建设征地、土地管理和土地测绘提供服务；协助土地行政主管部门处理与用地单位、被征地农村集体经济组织、农民之间发生的问题，并向用地单位、被征地农村集体经济组织、农民提供与征地有关的法律、法规和技术咨询服务；掌握征用土地方案和征地补偿安置方案的实施情况，主持签订征地土地协议书，制定征地工作方案，填报征地呈报表，计算、收缴、支付征地相关费用；复核征地条件，现场勘查、核定征地数量与界限，按政府批准的界限埋设界桩；负责办理全区土地整理、开发及复垦相关工作，接受政府委托对大、中型建设项目前期土地开发进行可行性研究。</w:t>
      </w:r>
    </w:p>
    <w:p w14:paraId="660C48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依据授权负责辖区内不动产统一登记相关工作及相关档案管理工作；负责辖区内保障性住房等相关管理工作；组织调解处理辖区重大疑难物业管理纠纷案件、指导街道物业管理纠纷调解和组织相关培训工作等。</w:t>
      </w:r>
    </w:p>
    <w:p w14:paraId="077DE50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4、协助辖区建设工程、市政工程安全生产工作进行监督管理及监督备案；对区属的建筑业企业进行安全生产管理；负责辖区起重设备安装、拆除备案等工作。</w:t>
      </w:r>
    </w:p>
    <w:p w14:paraId="08DC782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5、对房屋建筑和市政基础设施施工过程进行全面监督；对建设单位组织的工程竣工验收的组织形式、程序等进行监督；对验收合格的形成工程质量监督报告，建立工程质量监督档案。</w:t>
      </w:r>
    </w:p>
    <w:p w14:paraId="0FB37A7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对房屋建筑和市政基础设施工程竣工验收提供技术支持和服务保障，并向备案机关提交工程质量监督报告；负责房屋建筑和市政基础设施工程档案的初审、收集、整理、鉴定、保管和开发利用；负责查阅施工图设计文件的审查备案情况；掌握园区建设工程质量状况，及时统计分析、推广先进的工程质量管理经验。</w:t>
      </w:r>
    </w:p>
    <w:p w14:paraId="1DAF0E0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7、配合相关部门对辖区工程质量投诉、工程质量问题的举报等依法进行调查取证；组织或参与辖区内工程质量事故的调查、仲裁和处理；对违法、违规行为进行调查取证、核实、处理。</w:t>
      </w:r>
    </w:p>
    <w:p w14:paraId="25FDB35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对辖区内新建燃气工程质量监督管理，并监督验收程序及核发备案证（城市燃气工程中的压力管道、压力容器等特种设备部分不在监管范围之内）；负责工程监理企业资质监督管理，对检测机构的质量检测活动进行监督管理；</w:t>
      </w:r>
    </w:p>
    <w:p w14:paraId="3843B1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9、负责辖区城市道路、桥隧、照明、排水、环境卫生、风景园林等设施年度建设及维(养)护工作，负责城市道路、桥隧、照明、排水、环境卫生、风景园林等方面的养护管理工作，并组织开展相关工作。</w:t>
      </w:r>
    </w:p>
    <w:p w14:paraId="0ED05EF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10、为编制区域性土地开发实施方案和年度开发整理计划提供技术支持，并组织实施。</w:t>
      </w:r>
    </w:p>
    <w:p w14:paraId="2E0225D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11、作为建设主体，承担区域性土地整理配套的基础设施建设等服务工作。</w:t>
      </w:r>
    </w:p>
    <w:p w14:paraId="57D365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12、服务保障科学城土地整理、区片开发、基础设施和公共服务设施建设及运营维护。</w:t>
      </w:r>
    </w:p>
    <w:p w14:paraId="51C1671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13、负责全区土地、房屋、海域、林地等自然资源有关工作的服务保障工作。</w:t>
      </w:r>
    </w:p>
    <w:p w14:paraId="3611632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w:t>
      </w:r>
      <w:r>
        <w:rPr>
          <w:rFonts w:ascii="仿宋" w:hAnsi="仿宋" w:eastAsia="仿宋" w:cs="仿宋"/>
          <w:color w:val="000000"/>
          <w:kern w:val="0"/>
          <w:sz w:val="30"/>
          <w:szCs w:val="30"/>
        </w:rPr>
        <w:t>贯彻执行国家有关消防的法律法规和相关技术规范、标准，负责对建设行政主管部门制定全区工程建设消防相关政策提供技术支持和服务保障，</w:t>
      </w:r>
      <w:r>
        <w:rPr>
          <w:rFonts w:hint="eastAsia" w:ascii="仿宋" w:hAnsi="仿宋" w:eastAsia="仿宋" w:cs="仿宋"/>
          <w:color w:val="000000"/>
          <w:kern w:val="0"/>
          <w:sz w:val="30"/>
          <w:szCs w:val="30"/>
        </w:rPr>
        <w:t>为</w:t>
      </w:r>
      <w:r>
        <w:rPr>
          <w:rFonts w:ascii="仿宋" w:hAnsi="仿宋" w:eastAsia="仿宋" w:cs="仿宋"/>
          <w:color w:val="000000"/>
          <w:kern w:val="0"/>
          <w:sz w:val="30"/>
          <w:szCs w:val="30"/>
        </w:rPr>
        <w:t>全区建设工程消防设计审查、</w:t>
      </w:r>
      <w:r>
        <w:rPr>
          <w:rFonts w:hint="eastAsia" w:ascii="仿宋" w:hAnsi="仿宋" w:eastAsia="仿宋" w:cs="仿宋"/>
          <w:color w:val="000000"/>
          <w:kern w:val="0"/>
          <w:sz w:val="30"/>
          <w:szCs w:val="30"/>
        </w:rPr>
        <w:t>竣工</w:t>
      </w:r>
      <w:r>
        <w:rPr>
          <w:rFonts w:ascii="仿宋" w:hAnsi="仿宋" w:eastAsia="仿宋" w:cs="仿宋"/>
          <w:color w:val="000000"/>
          <w:kern w:val="0"/>
          <w:sz w:val="30"/>
          <w:szCs w:val="30"/>
        </w:rPr>
        <w:t>验收、</w:t>
      </w:r>
      <w:r>
        <w:rPr>
          <w:rFonts w:hint="eastAsia" w:ascii="仿宋" w:hAnsi="仿宋" w:eastAsia="仿宋" w:cs="仿宋"/>
          <w:color w:val="000000"/>
          <w:kern w:val="0"/>
          <w:sz w:val="30"/>
          <w:szCs w:val="30"/>
        </w:rPr>
        <w:t>竣工验收</w:t>
      </w:r>
      <w:r>
        <w:rPr>
          <w:rFonts w:ascii="仿宋" w:hAnsi="仿宋" w:eastAsia="仿宋" w:cs="仿宋"/>
          <w:color w:val="000000"/>
          <w:kern w:val="0"/>
          <w:sz w:val="30"/>
          <w:szCs w:val="30"/>
        </w:rPr>
        <w:t>备案</w:t>
      </w:r>
      <w:r>
        <w:rPr>
          <w:rFonts w:hint="eastAsia" w:ascii="仿宋" w:hAnsi="仿宋" w:eastAsia="仿宋" w:cs="仿宋"/>
          <w:color w:val="000000"/>
          <w:kern w:val="0"/>
          <w:sz w:val="30"/>
          <w:szCs w:val="30"/>
        </w:rPr>
        <w:t>工作的受理及审核等工作提供技术支持与服务保障。负责全区建设工程中所涉及消防工程的日常监管</w:t>
      </w:r>
      <w:r>
        <w:rPr>
          <w:rFonts w:ascii="仿宋" w:hAnsi="仿宋" w:eastAsia="仿宋" w:cs="仿宋"/>
          <w:color w:val="000000"/>
          <w:kern w:val="0"/>
          <w:sz w:val="30"/>
          <w:szCs w:val="30"/>
        </w:rPr>
        <w:t>。</w:t>
      </w:r>
    </w:p>
    <w:p w14:paraId="07B166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15、完成区党工委、管委会及上级部门交办的其他工作。</w:t>
      </w:r>
    </w:p>
    <w:p w14:paraId="7EF928E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1984A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21年城市建设事务服务中心部门预算为本部门综合收支计划，无二级单位。</w:t>
      </w:r>
    </w:p>
    <w:p w14:paraId="379D0E1D">
      <w:pPr>
        <w:widowControl/>
        <w:spacing w:line="330" w:lineRule="atLeast"/>
        <w:ind w:firstLine="600" w:firstLineChars="200"/>
        <w:jc w:val="left"/>
        <w:rPr>
          <w:rFonts w:ascii="仿宋" w:hAnsi="仿宋" w:eastAsia="仿宋" w:cs="仿宋"/>
          <w:color w:val="000000"/>
          <w:kern w:val="0"/>
          <w:sz w:val="30"/>
          <w:szCs w:val="30"/>
        </w:rPr>
      </w:pPr>
    </w:p>
    <w:p w14:paraId="0ACF05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66EC1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一、总体说明</w:t>
      </w:r>
    </w:p>
    <w:p w14:paraId="797D7AE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按照综合预算的原则，本部门所有收入和支出均纳入部门预算管理，无下级预算单位。收入包括：财政拨款收入16,953.4万元；支出包括：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工资福利和对个人家庭补助支出2,845.4万元</w:t>
      </w:r>
      <w:bookmarkEnd w:id="0"/>
      <w:bookmarkEnd w:id="1"/>
      <w:r>
        <w:rPr>
          <w:rFonts w:hint="eastAsia" w:ascii="仿宋" w:hAnsi="仿宋" w:eastAsia="仿宋" w:cs="仿宋"/>
          <w:color w:val="000000"/>
          <w:kern w:val="0"/>
          <w:sz w:val="30"/>
          <w:szCs w:val="30"/>
        </w:rPr>
        <w:t>，商品和服务支出14,108万元。全部为一般公共预算收支，无政府性基金预算收支，无国有资本经营预算收支。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0830F88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8C6C672">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53D440F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B19944E">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包括定额公用经费74.6万元</w:t>
      </w:r>
      <w:r>
        <w:rPr>
          <w:rFonts w:ascii="仿宋" w:hAnsi="仿宋" w:eastAsia="仿宋" w:cs="Verdana"/>
          <w:color w:val="000000"/>
          <w:kern w:val="0"/>
          <w:sz w:val="30"/>
          <w:szCs w:val="30"/>
        </w:rPr>
        <w:t>。</w:t>
      </w:r>
    </w:p>
    <w:p w14:paraId="7CBAD03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53029A0">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2021年本部门政府采购项目共10个：</w:t>
      </w:r>
    </w:p>
    <w:p w14:paraId="7FF758A0">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1、法律顾问诉讼服务项目,采购预算为820万元;</w:t>
      </w:r>
    </w:p>
    <w:p w14:paraId="79AB12F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hint="eastAsia" w:ascii="仿宋" w:hAnsi="仿宋" w:eastAsia="仿宋" w:cs="Verdana"/>
          <w:color w:val="000000"/>
          <w:kern w:val="0"/>
          <w:sz w:val="30"/>
          <w:szCs w:val="30"/>
        </w:rPr>
        <w:t>“互联网+不动产抵押登记”软件服务,采购预算为145万元;</w:t>
      </w:r>
    </w:p>
    <w:p w14:paraId="371BE2DD">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3、融雪剂采购项目,采购预算为239万元;</w:t>
      </w:r>
    </w:p>
    <w:p w14:paraId="244FFF3C">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4、园林绿化物资采购项目,采购预算为182万元;</w:t>
      </w:r>
    </w:p>
    <w:p w14:paraId="6D07DE5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w:t>
      </w:r>
      <w:r>
        <w:rPr>
          <w:rFonts w:hint="eastAsia" w:ascii="仿宋" w:hAnsi="仿宋" w:eastAsia="仿宋" w:cs="Verdana"/>
          <w:color w:val="000000"/>
          <w:kern w:val="0"/>
          <w:sz w:val="30"/>
          <w:szCs w:val="30"/>
        </w:rPr>
        <w:t>、市政车辆维护维修项目,采购预算为1,220万元;</w:t>
      </w:r>
    </w:p>
    <w:p w14:paraId="5713EF4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w:t>
      </w:r>
      <w:r>
        <w:rPr>
          <w:rFonts w:hint="eastAsia" w:ascii="仿宋" w:hAnsi="仿宋" w:eastAsia="仿宋" w:cs="Verdana"/>
          <w:color w:val="000000"/>
          <w:kern w:val="0"/>
          <w:sz w:val="30"/>
          <w:szCs w:val="30"/>
        </w:rPr>
        <w:t>凌水街道环卫人员、物资采购项目, 采购预算为1,620.8万元;</w:t>
      </w:r>
    </w:p>
    <w:p w14:paraId="123918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Verdana"/>
          <w:color w:val="000000"/>
          <w:kern w:val="0"/>
          <w:sz w:val="30"/>
          <w:szCs w:val="30"/>
        </w:rPr>
        <w:t>7、道路鲜花采购项目, 采购预算为396万元;</w:t>
      </w:r>
    </w:p>
    <w:p w14:paraId="1EB41E96">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8、公共绿地社会化养护采购项目,采购预算为376万元;</w:t>
      </w:r>
    </w:p>
    <w:p w14:paraId="0F1C407C">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仿宋"/>
          <w:color w:val="000000"/>
          <w:kern w:val="0"/>
          <w:sz w:val="30"/>
          <w:szCs w:val="30"/>
        </w:rPr>
        <w:t>9、</w:t>
      </w:r>
      <w:r>
        <w:rPr>
          <w:rFonts w:hint="eastAsia" w:ascii="仿宋" w:hAnsi="仿宋" w:eastAsia="仿宋" w:cs="Verdana"/>
          <w:color w:val="000000"/>
          <w:kern w:val="0"/>
          <w:sz w:val="30"/>
          <w:szCs w:val="30"/>
        </w:rPr>
        <w:t>七贤岭隧道和河口湾大桥年度养护管理采购项目,采购预算为78.1万元;</w:t>
      </w:r>
    </w:p>
    <w:p w14:paraId="01FFD34F">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仿宋"/>
          <w:color w:val="000000"/>
          <w:kern w:val="0"/>
          <w:sz w:val="30"/>
          <w:szCs w:val="30"/>
        </w:rPr>
        <w:t>10、</w:t>
      </w:r>
      <w:r>
        <w:rPr>
          <w:rFonts w:hint="eastAsia" w:ascii="仿宋" w:hAnsi="仿宋" w:eastAsia="仿宋" w:cs="Verdana"/>
          <w:color w:val="000000"/>
          <w:kern w:val="0"/>
          <w:sz w:val="30"/>
          <w:szCs w:val="30"/>
        </w:rPr>
        <w:t>防台防汛物资采购项目,采购预算为57万元。</w:t>
      </w:r>
    </w:p>
    <w:p w14:paraId="4F4AC83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AC7927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4311ECF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6F25AA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1A10B02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3F214463">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21年，按照“先有绩效，后有预算”原则，本部门共计编制绩效目标46个，预算金额13,704.2万元，占项目支出预算比重100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694C807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八、西科姆安全系统项目情况</w:t>
      </w:r>
    </w:p>
    <w:p w14:paraId="2ECDD18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项目</w:t>
      </w:r>
      <w:r>
        <w:rPr>
          <w:rFonts w:ascii="仿宋" w:hAnsi="仿宋" w:eastAsia="仿宋" w:cs="仿宋"/>
          <w:color w:val="000000"/>
          <w:kern w:val="0"/>
          <w:sz w:val="30"/>
          <w:szCs w:val="30"/>
        </w:rPr>
        <w:t>概述</w:t>
      </w:r>
    </w:p>
    <w:p w14:paraId="3475F8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为保证城市建设事务服务中心财务资金、重要凭证安全，所以配备西科姆安全系统。</w:t>
      </w:r>
    </w:p>
    <w:p w14:paraId="7D6D982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立项依据</w:t>
      </w:r>
    </w:p>
    <w:p w14:paraId="1F0169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根据《企事业单位内部治安保卫条例》等相关规定。</w:t>
      </w:r>
    </w:p>
    <w:p w14:paraId="065110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实施</w:t>
      </w:r>
      <w:r>
        <w:rPr>
          <w:rFonts w:ascii="仿宋" w:hAnsi="仿宋" w:eastAsia="仿宋" w:cs="仿宋"/>
          <w:color w:val="000000"/>
          <w:kern w:val="0"/>
          <w:sz w:val="30"/>
          <w:szCs w:val="30"/>
        </w:rPr>
        <w:t>主体</w:t>
      </w:r>
    </w:p>
    <w:p w14:paraId="0AEA9CC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大连高新区城市建设事务服务中心。</w:t>
      </w:r>
    </w:p>
    <w:p w14:paraId="26A736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实施</w:t>
      </w:r>
      <w:r>
        <w:rPr>
          <w:rFonts w:ascii="仿宋" w:hAnsi="仿宋" w:eastAsia="仿宋" w:cs="仿宋"/>
          <w:color w:val="000000"/>
          <w:kern w:val="0"/>
          <w:sz w:val="30"/>
          <w:szCs w:val="30"/>
        </w:rPr>
        <w:t>方案</w:t>
      </w:r>
    </w:p>
    <w:p w14:paraId="5EC61C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（一）项目的主要目标：保障财务资金及重要凭证安全；</w:t>
      </w:r>
    </w:p>
    <w:p w14:paraId="5829833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（二）实施方式：由西科姆公司管理及维护；</w:t>
      </w:r>
    </w:p>
    <w:p w14:paraId="757335B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（三）实施计划：每年报部门专项预算时上报。</w:t>
      </w:r>
    </w:p>
    <w:p w14:paraId="30F84A5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实施周期</w:t>
      </w:r>
    </w:p>
    <w:p w14:paraId="0BB74C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项目</w:t>
      </w:r>
      <w:r>
        <w:rPr>
          <w:rFonts w:ascii="仿宋" w:hAnsi="仿宋" w:eastAsia="仿宋" w:cs="仿宋"/>
          <w:color w:val="000000"/>
          <w:kern w:val="0"/>
          <w:sz w:val="30"/>
          <w:szCs w:val="30"/>
        </w:rPr>
        <w:t>从</w:t>
      </w:r>
      <w:r>
        <w:rPr>
          <w:rFonts w:hint="eastAsia" w:ascii="仿宋" w:hAnsi="仿宋" w:eastAsia="仿宋" w:cs="仿宋"/>
          <w:color w:val="000000"/>
          <w:kern w:val="0"/>
          <w:sz w:val="30"/>
          <w:szCs w:val="30"/>
        </w:rPr>
        <w:t>2021年3月1日</w:t>
      </w:r>
      <w:r>
        <w:rPr>
          <w:rFonts w:ascii="仿宋" w:hAnsi="仿宋" w:eastAsia="仿宋" w:cs="仿宋"/>
          <w:color w:val="000000"/>
          <w:kern w:val="0"/>
          <w:sz w:val="30"/>
          <w:szCs w:val="30"/>
        </w:rPr>
        <w:t>起始到</w:t>
      </w:r>
      <w:r>
        <w:rPr>
          <w:rFonts w:hint="eastAsia" w:ascii="仿宋" w:hAnsi="仿宋" w:eastAsia="仿宋" w:cs="仿宋"/>
          <w:color w:val="000000"/>
          <w:kern w:val="0"/>
          <w:sz w:val="30"/>
          <w:szCs w:val="30"/>
        </w:rPr>
        <w:t>2022年2月28日终止，此项目为</w:t>
      </w:r>
      <w:r>
        <w:rPr>
          <w:rFonts w:ascii="仿宋" w:hAnsi="仿宋" w:eastAsia="仿宋" w:cs="仿宋"/>
          <w:color w:val="000000"/>
          <w:kern w:val="0"/>
          <w:sz w:val="30"/>
          <w:szCs w:val="30"/>
        </w:rPr>
        <w:t>长期实施项目。</w:t>
      </w:r>
    </w:p>
    <w:p w14:paraId="7ADEC92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w:t>
      </w:r>
      <w:r>
        <w:rPr>
          <w:rFonts w:hint="eastAsia" w:ascii="宋体" w:hAnsi="宋体" w:cs="仿宋"/>
          <w:color w:val="000000"/>
          <w:kern w:val="0"/>
          <w:sz w:val="30"/>
          <w:szCs w:val="30"/>
        </w:rPr>
        <w:t>、</w:t>
      </w:r>
      <w:r>
        <w:rPr>
          <w:rFonts w:hint="eastAsia" w:ascii="仿宋" w:hAnsi="仿宋" w:eastAsia="仿宋" w:cs="仿宋"/>
          <w:color w:val="000000"/>
          <w:kern w:val="0"/>
          <w:sz w:val="30"/>
          <w:szCs w:val="30"/>
        </w:rPr>
        <w:t>年度预算安排</w:t>
      </w:r>
    </w:p>
    <w:p w14:paraId="358229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0.42万元。</w:t>
      </w:r>
    </w:p>
    <w:p w14:paraId="6AED81BB">
      <w:pPr>
        <w:widowControl/>
        <w:spacing w:line="330" w:lineRule="atLeast"/>
        <w:ind w:firstLine="600" w:firstLineChars="200"/>
        <w:jc w:val="left"/>
        <w:rPr>
          <w:rFonts w:ascii="仿宋" w:hAnsi="仿宋" w:eastAsia="仿宋" w:cs="仿宋"/>
          <w:color w:val="000000"/>
          <w:kern w:val="0"/>
          <w:sz w:val="30"/>
          <w:szCs w:val="30"/>
        </w:rPr>
      </w:pPr>
    </w:p>
    <w:p w14:paraId="545F963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1DD120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A08001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C7F48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FA863D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BBB5A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27E69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CF95E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23B93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512A8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9DC8DB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67F34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D6079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DFB0B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B514CC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7EB49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5563D8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518F8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8E78D3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63F934B">
      <w:pPr>
        <w:widowControl/>
        <w:spacing w:line="330" w:lineRule="atLeast"/>
        <w:ind w:firstLine="600" w:firstLineChars="200"/>
        <w:jc w:val="left"/>
        <w:rPr>
          <w:rFonts w:ascii="仿宋" w:hAnsi="仿宋" w:eastAsia="仿宋" w:cs="仿宋"/>
          <w:color w:val="000000"/>
          <w:kern w:val="0"/>
          <w:sz w:val="30"/>
          <w:szCs w:val="30"/>
        </w:rPr>
      </w:pPr>
    </w:p>
    <w:p w14:paraId="0D77883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0CA9A226">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52826">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9</w:t>
    </w:r>
    <w:r>
      <w:rPr>
        <w:rStyle w:val="6"/>
      </w:rPr>
      <w:fldChar w:fldCharType="end"/>
    </w:r>
  </w:p>
  <w:p w14:paraId="07FE14E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637B4">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219CE12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0B7B"/>
    <w:rsid w:val="0003365D"/>
    <w:rsid w:val="00040279"/>
    <w:rsid w:val="00041854"/>
    <w:rsid w:val="00044D65"/>
    <w:rsid w:val="00045CEA"/>
    <w:rsid w:val="00046D52"/>
    <w:rsid w:val="00053D99"/>
    <w:rsid w:val="00066F30"/>
    <w:rsid w:val="00084B59"/>
    <w:rsid w:val="000A55C1"/>
    <w:rsid w:val="000C6B49"/>
    <w:rsid w:val="000C6D05"/>
    <w:rsid w:val="000E6C93"/>
    <w:rsid w:val="000E7D75"/>
    <w:rsid w:val="000F7EC7"/>
    <w:rsid w:val="00101BE5"/>
    <w:rsid w:val="00104AD4"/>
    <w:rsid w:val="0010550E"/>
    <w:rsid w:val="00105E0D"/>
    <w:rsid w:val="00106522"/>
    <w:rsid w:val="001070D2"/>
    <w:rsid w:val="00122ACC"/>
    <w:rsid w:val="001255BC"/>
    <w:rsid w:val="0014109A"/>
    <w:rsid w:val="00150877"/>
    <w:rsid w:val="001518B3"/>
    <w:rsid w:val="00161209"/>
    <w:rsid w:val="00164A2E"/>
    <w:rsid w:val="00165857"/>
    <w:rsid w:val="00166E35"/>
    <w:rsid w:val="00174D39"/>
    <w:rsid w:val="00187190"/>
    <w:rsid w:val="00195C8B"/>
    <w:rsid w:val="001961A4"/>
    <w:rsid w:val="001B4947"/>
    <w:rsid w:val="001B5BDF"/>
    <w:rsid w:val="001D2999"/>
    <w:rsid w:val="001D7051"/>
    <w:rsid w:val="001E05AB"/>
    <w:rsid w:val="001E3E93"/>
    <w:rsid w:val="001E6730"/>
    <w:rsid w:val="001F6AE8"/>
    <w:rsid w:val="002016BC"/>
    <w:rsid w:val="00212E7D"/>
    <w:rsid w:val="00224F6B"/>
    <w:rsid w:val="00246E6D"/>
    <w:rsid w:val="00264775"/>
    <w:rsid w:val="00265F8B"/>
    <w:rsid w:val="00275DE8"/>
    <w:rsid w:val="00275EE8"/>
    <w:rsid w:val="002777B6"/>
    <w:rsid w:val="00286258"/>
    <w:rsid w:val="00297382"/>
    <w:rsid w:val="00297E4B"/>
    <w:rsid w:val="002B23B7"/>
    <w:rsid w:val="002B62F5"/>
    <w:rsid w:val="002C2B9F"/>
    <w:rsid w:val="002D1847"/>
    <w:rsid w:val="002D5612"/>
    <w:rsid w:val="002D68D6"/>
    <w:rsid w:val="002D7A1C"/>
    <w:rsid w:val="002E6BAD"/>
    <w:rsid w:val="002F1203"/>
    <w:rsid w:val="002F31AA"/>
    <w:rsid w:val="003003AA"/>
    <w:rsid w:val="00305AFA"/>
    <w:rsid w:val="00312B1C"/>
    <w:rsid w:val="0031439C"/>
    <w:rsid w:val="00315D51"/>
    <w:rsid w:val="00320A20"/>
    <w:rsid w:val="0032135C"/>
    <w:rsid w:val="0032565D"/>
    <w:rsid w:val="0032698A"/>
    <w:rsid w:val="0032738F"/>
    <w:rsid w:val="003374E4"/>
    <w:rsid w:val="00342DA2"/>
    <w:rsid w:val="003431AF"/>
    <w:rsid w:val="00346C8A"/>
    <w:rsid w:val="00370937"/>
    <w:rsid w:val="00372333"/>
    <w:rsid w:val="00397456"/>
    <w:rsid w:val="003B50ED"/>
    <w:rsid w:val="003C51EE"/>
    <w:rsid w:val="003C5AC5"/>
    <w:rsid w:val="003C65CD"/>
    <w:rsid w:val="003E105F"/>
    <w:rsid w:val="003E26ED"/>
    <w:rsid w:val="003E3CD6"/>
    <w:rsid w:val="003E61DA"/>
    <w:rsid w:val="003F2AA1"/>
    <w:rsid w:val="003F2C19"/>
    <w:rsid w:val="003F4DFF"/>
    <w:rsid w:val="003F4F25"/>
    <w:rsid w:val="003F50CC"/>
    <w:rsid w:val="004115C9"/>
    <w:rsid w:val="00420258"/>
    <w:rsid w:val="004221E9"/>
    <w:rsid w:val="00447DC8"/>
    <w:rsid w:val="00457EAC"/>
    <w:rsid w:val="00463767"/>
    <w:rsid w:val="004727A6"/>
    <w:rsid w:val="0047716E"/>
    <w:rsid w:val="004B30EC"/>
    <w:rsid w:val="004B603D"/>
    <w:rsid w:val="004D5070"/>
    <w:rsid w:val="004D7EA6"/>
    <w:rsid w:val="004E350F"/>
    <w:rsid w:val="004F7A6E"/>
    <w:rsid w:val="00502BB0"/>
    <w:rsid w:val="005040D0"/>
    <w:rsid w:val="005110DE"/>
    <w:rsid w:val="005119C6"/>
    <w:rsid w:val="0053352F"/>
    <w:rsid w:val="00537475"/>
    <w:rsid w:val="005637BB"/>
    <w:rsid w:val="005776F0"/>
    <w:rsid w:val="00592029"/>
    <w:rsid w:val="00592DE2"/>
    <w:rsid w:val="00594FB5"/>
    <w:rsid w:val="005A04CC"/>
    <w:rsid w:val="005B2CD0"/>
    <w:rsid w:val="005D44C4"/>
    <w:rsid w:val="005D6181"/>
    <w:rsid w:val="005D6799"/>
    <w:rsid w:val="005E5D50"/>
    <w:rsid w:val="005E73FD"/>
    <w:rsid w:val="005F4DCC"/>
    <w:rsid w:val="005F6310"/>
    <w:rsid w:val="005F68E4"/>
    <w:rsid w:val="00600EEF"/>
    <w:rsid w:val="00614500"/>
    <w:rsid w:val="00620092"/>
    <w:rsid w:val="00641134"/>
    <w:rsid w:val="00651ED9"/>
    <w:rsid w:val="006541E5"/>
    <w:rsid w:val="00666DD9"/>
    <w:rsid w:val="00667696"/>
    <w:rsid w:val="00680054"/>
    <w:rsid w:val="00685E3D"/>
    <w:rsid w:val="00691AA8"/>
    <w:rsid w:val="00692DD1"/>
    <w:rsid w:val="006952EC"/>
    <w:rsid w:val="006973B4"/>
    <w:rsid w:val="006B3DD4"/>
    <w:rsid w:val="006C50F8"/>
    <w:rsid w:val="006C5384"/>
    <w:rsid w:val="006E5605"/>
    <w:rsid w:val="006F3EF5"/>
    <w:rsid w:val="00730EBE"/>
    <w:rsid w:val="00740FBF"/>
    <w:rsid w:val="0075074F"/>
    <w:rsid w:val="00753345"/>
    <w:rsid w:val="00753F26"/>
    <w:rsid w:val="00755C7B"/>
    <w:rsid w:val="007622CF"/>
    <w:rsid w:val="0076461C"/>
    <w:rsid w:val="00765393"/>
    <w:rsid w:val="00772D51"/>
    <w:rsid w:val="007805EB"/>
    <w:rsid w:val="00780EAB"/>
    <w:rsid w:val="00786815"/>
    <w:rsid w:val="00793572"/>
    <w:rsid w:val="007971B7"/>
    <w:rsid w:val="00797B39"/>
    <w:rsid w:val="007B0D20"/>
    <w:rsid w:val="007B12D0"/>
    <w:rsid w:val="007C5E3C"/>
    <w:rsid w:val="007C73E6"/>
    <w:rsid w:val="007E5065"/>
    <w:rsid w:val="007F23D9"/>
    <w:rsid w:val="007F5365"/>
    <w:rsid w:val="008207A6"/>
    <w:rsid w:val="0082397E"/>
    <w:rsid w:val="008261A0"/>
    <w:rsid w:val="00826E6F"/>
    <w:rsid w:val="00834FB9"/>
    <w:rsid w:val="008514C1"/>
    <w:rsid w:val="0085203E"/>
    <w:rsid w:val="008620BC"/>
    <w:rsid w:val="008641D1"/>
    <w:rsid w:val="0086507F"/>
    <w:rsid w:val="00883A66"/>
    <w:rsid w:val="008955EA"/>
    <w:rsid w:val="00895749"/>
    <w:rsid w:val="008957F7"/>
    <w:rsid w:val="00896F89"/>
    <w:rsid w:val="008B01B8"/>
    <w:rsid w:val="008B3318"/>
    <w:rsid w:val="008B5C35"/>
    <w:rsid w:val="008C725D"/>
    <w:rsid w:val="008C77BC"/>
    <w:rsid w:val="008D5CB1"/>
    <w:rsid w:val="008E1C52"/>
    <w:rsid w:val="008E2A3D"/>
    <w:rsid w:val="008F7F20"/>
    <w:rsid w:val="00901F4E"/>
    <w:rsid w:val="009145F5"/>
    <w:rsid w:val="009244A6"/>
    <w:rsid w:val="00926043"/>
    <w:rsid w:val="00937B86"/>
    <w:rsid w:val="00941B10"/>
    <w:rsid w:val="009568F1"/>
    <w:rsid w:val="00960DB3"/>
    <w:rsid w:val="00961681"/>
    <w:rsid w:val="0096311F"/>
    <w:rsid w:val="009644D4"/>
    <w:rsid w:val="009652AA"/>
    <w:rsid w:val="00976710"/>
    <w:rsid w:val="009815EE"/>
    <w:rsid w:val="009848F0"/>
    <w:rsid w:val="00985830"/>
    <w:rsid w:val="009870F9"/>
    <w:rsid w:val="009965C9"/>
    <w:rsid w:val="009A584B"/>
    <w:rsid w:val="009B00D7"/>
    <w:rsid w:val="009B2426"/>
    <w:rsid w:val="009E0209"/>
    <w:rsid w:val="009E374F"/>
    <w:rsid w:val="009F1015"/>
    <w:rsid w:val="009F229D"/>
    <w:rsid w:val="00A03D30"/>
    <w:rsid w:val="00A12672"/>
    <w:rsid w:val="00A150E4"/>
    <w:rsid w:val="00A2204B"/>
    <w:rsid w:val="00A26A44"/>
    <w:rsid w:val="00A3368B"/>
    <w:rsid w:val="00A377FD"/>
    <w:rsid w:val="00A37AC3"/>
    <w:rsid w:val="00A4045A"/>
    <w:rsid w:val="00A5261D"/>
    <w:rsid w:val="00A5549A"/>
    <w:rsid w:val="00A56384"/>
    <w:rsid w:val="00A60D00"/>
    <w:rsid w:val="00A70656"/>
    <w:rsid w:val="00A7639E"/>
    <w:rsid w:val="00A81826"/>
    <w:rsid w:val="00A924A6"/>
    <w:rsid w:val="00AA382F"/>
    <w:rsid w:val="00AC7B47"/>
    <w:rsid w:val="00AD4AF5"/>
    <w:rsid w:val="00AE72D3"/>
    <w:rsid w:val="00AE75CF"/>
    <w:rsid w:val="00AE7779"/>
    <w:rsid w:val="00AF5298"/>
    <w:rsid w:val="00B07BF3"/>
    <w:rsid w:val="00B217F1"/>
    <w:rsid w:val="00B3394E"/>
    <w:rsid w:val="00B37911"/>
    <w:rsid w:val="00B40E6C"/>
    <w:rsid w:val="00B42381"/>
    <w:rsid w:val="00B4656B"/>
    <w:rsid w:val="00B523E9"/>
    <w:rsid w:val="00B6416E"/>
    <w:rsid w:val="00B7118F"/>
    <w:rsid w:val="00B82829"/>
    <w:rsid w:val="00B97DDF"/>
    <w:rsid w:val="00BB77C4"/>
    <w:rsid w:val="00BD41CB"/>
    <w:rsid w:val="00BE3E74"/>
    <w:rsid w:val="00BE53AA"/>
    <w:rsid w:val="00BE56DE"/>
    <w:rsid w:val="00BF5A10"/>
    <w:rsid w:val="00C0387D"/>
    <w:rsid w:val="00C052C0"/>
    <w:rsid w:val="00C052EC"/>
    <w:rsid w:val="00C14319"/>
    <w:rsid w:val="00C3494E"/>
    <w:rsid w:val="00C37AEC"/>
    <w:rsid w:val="00C403F4"/>
    <w:rsid w:val="00C4725D"/>
    <w:rsid w:val="00C52D9E"/>
    <w:rsid w:val="00C61A43"/>
    <w:rsid w:val="00C6442C"/>
    <w:rsid w:val="00C67479"/>
    <w:rsid w:val="00C678ED"/>
    <w:rsid w:val="00C82EE1"/>
    <w:rsid w:val="00CA5F27"/>
    <w:rsid w:val="00CC08D2"/>
    <w:rsid w:val="00CC0B0F"/>
    <w:rsid w:val="00CC1B2E"/>
    <w:rsid w:val="00CD1F30"/>
    <w:rsid w:val="00CD248C"/>
    <w:rsid w:val="00CD52EE"/>
    <w:rsid w:val="00CF43DA"/>
    <w:rsid w:val="00CF6BD2"/>
    <w:rsid w:val="00D10236"/>
    <w:rsid w:val="00D176CA"/>
    <w:rsid w:val="00D20A37"/>
    <w:rsid w:val="00D400F0"/>
    <w:rsid w:val="00D41A68"/>
    <w:rsid w:val="00D41CD9"/>
    <w:rsid w:val="00D51FE8"/>
    <w:rsid w:val="00D54F71"/>
    <w:rsid w:val="00D607BE"/>
    <w:rsid w:val="00D62F3D"/>
    <w:rsid w:val="00D70887"/>
    <w:rsid w:val="00D72171"/>
    <w:rsid w:val="00D82E50"/>
    <w:rsid w:val="00D876AC"/>
    <w:rsid w:val="00D917C4"/>
    <w:rsid w:val="00DA4DBA"/>
    <w:rsid w:val="00DA4EA4"/>
    <w:rsid w:val="00DC1136"/>
    <w:rsid w:val="00DC68C9"/>
    <w:rsid w:val="00DD605A"/>
    <w:rsid w:val="00DD67CE"/>
    <w:rsid w:val="00DF2079"/>
    <w:rsid w:val="00DF3D9D"/>
    <w:rsid w:val="00E041CE"/>
    <w:rsid w:val="00E1310B"/>
    <w:rsid w:val="00E13E47"/>
    <w:rsid w:val="00E160F9"/>
    <w:rsid w:val="00E22472"/>
    <w:rsid w:val="00E230D9"/>
    <w:rsid w:val="00E43146"/>
    <w:rsid w:val="00E43359"/>
    <w:rsid w:val="00E439A8"/>
    <w:rsid w:val="00E454AB"/>
    <w:rsid w:val="00E6644C"/>
    <w:rsid w:val="00E679E1"/>
    <w:rsid w:val="00E804EF"/>
    <w:rsid w:val="00E876A6"/>
    <w:rsid w:val="00EA15E7"/>
    <w:rsid w:val="00EB0F1B"/>
    <w:rsid w:val="00EB6E55"/>
    <w:rsid w:val="00EC4F04"/>
    <w:rsid w:val="00ED2765"/>
    <w:rsid w:val="00ED75CD"/>
    <w:rsid w:val="00EE134B"/>
    <w:rsid w:val="00EF30E4"/>
    <w:rsid w:val="00F01060"/>
    <w:rsid w:val="00F11659"/>
    <w:rsid w:val="00F168F1"/>
    <w:rsid w:val="00F24C60"/>
    <w:rsid w:val="00F251AC"/>
    <w:rsid w:val="00F2611C"/>
    <w:rsid w:val="00F60856"/>
    <w:rsid w:val="00F713C4"/>
    <w:rsid w:val="00F76F83"/>
    <w:rsid w:val="00F80042"/>
    <w:rsid w:val="00F82DFE"/>
    <w:rsid w:val="00F915B8"/>
    <w:rsid w:val="00F94B86"/>
    <w:rsid w:val="00FA33C7"/>
    <w:rsid w:val="00FC3253"/>
    <w:rsid w:val="00FC5228"/>
    <w:rsid w:val="00FD042E"/>
    <w:rsid w:val="00FD31AB"/>
    <w:rsid w:val="00FD7251"/>
    <w:rsid w:val="00FE2D74"/>
    <w:rsid w:val="00FE7CC4"/>
    <w:rsid w:val="00FF27E7"/>
    <w:rsid w:val="00FF4C02"/>
    <w:rsid w:val="5561223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3888</Words>
  <Characters>4019</Characters>
  <Lines>31</Lines>
  <Paragraphs>8</Paragraphs>
  <TotalTime>176</TotalTime>
  <ScaleCrop>false</ScaleCrop>
  <LinksUpToDate>false</LinksUpToDate>
  <CharactersWithSpaces>4288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2025-12-25T09:18:20Z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C82F4BFD0E784F72819AC7A87F7E78B2_12</vt:lpwstr>
  </property>
</Properties>
</file>