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312326">
      <w:pPr>
        <w:spacing w:line="600" w:lineRule="exact"/>
        <w:rPr>
          <w:rFonts w:ascii="仿宋_GB2312" w:eastAsia="仿宋_GB2312"/>
          <w:sz w:val="32"/>
          <w:szCs w:val="32"/>
        </w:rPr>
      </w:pPr>
      <w:bookmarkStart w:id="0" w:name="_GoBack"/>
      <w:bookmarkEnd w:id="0"/>
    </w:p>
    <w:p w14:paraId="14D3BE7A">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高新区总工会</w:t>
      </w:r>
      <w:r>
        <w:rPr>
          <w:rFonts w:ascii="仿宋" w:hAnsi="仿宋" w:eastAsia="仿宋" w:cs="仿宋"/>
          <w:b/>
          <w:bCs/>
          <w:color w:val="000000"/>
          <w:kern w:val="0"/>
          <w:sz w:val="30"/>
          <w:szCs w:val="30"/>
        </w:rPr>
        <w:t>2020</w:t>
      </w:r>
      <w:r>
        <w:rPr>
          <w:rFonts w:hint="eastAsia" w:ascii="仿宋" w:hAnsi="仿宋" w:eastAsia="仿宋" w:cs="仿宋"/>
          <w:b/>
          <w:bCs/>
          <w:color w:val="000000"/>
          <w:kern w:val="0"/>
          <w:sz w:val="30"/>
          <w:szCs w:val="30"/>
        </w:rPr>
        <w:t>年部门预算</w:t>
      </w:r>
    </w:p>
    <w:p w14:paraId="2B0EA422">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0223078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 部门概况</w:t>
      </w:r>
    </w:p>
    <w:p w14:paraId="758F967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5C7D6206">
      <w:pPr>
        <w:spacing w:line="330" w:lineRule="atLeast"/>
        <w:ind w:firstLine="600" w:firstLineChars="200"/>
        <w:rPr>
          <w:rFonts w:ascii="仿宋" w:hAnsi="仿宋" w:eastAsia="仿宋"/>
          <w:sz w:val="30"/>
          <w:szCs w:val="30"/>
        </w:rPr>
      </w:pPr>
      <w:r>
        <w:rPr>
          <w:rFonts w:hint="eastAsia" w:ascii="仿宋" w:hAnsi="仿宋" w:eastAsia="仿宋"/>
          <w:sz w:val="30"/>
          <w:szCs w:val="30"/>
        </w:rPr>
        <w:t>1、发挥好党联系群众的桥梁和纽带作用，履行好维护职工合法权益的基本职责；</w:t>
      </w:r>
    </w:p>
    <w:p w14:paraId="3F879799">
      <w:pPr>
        <w:spacing w:line="330" w:lineRule="atLeast"/>
        <w:ind w:firstLine="600" w:firstLineChars="200"/>
        <w:rPr>
          <w:rFonts w:ascii="仿宋" w:hAnsi="仿宋" w:eastAsia="仿宋"/>
          <w:sz w:val="30"/>
          <w:szCs w:val="30"/>
        </w:rPr>
      </w:pPr>
      <w:r>
        <w:rPr>
          <w:rFonts w:hint="eastAsia" w:ascii="仿宋" w:hAnsi="仿宋" w:eastAsia="仿宋"/>
          <w:sz w:val="30"/>
          <w:szCs w:val="30"/>
        </w:rPr>
        <w:t>2、负责督促和指导所属基层单位依法组建工会、发展会员和工会换届选举工作；</w:t>
      </w:r>
    </w:p>
    <w:p w14:paraId="73A33FA6">
      <w:pPr>
        <w:spacing w:line="330" w:lineRule="atLeast"/>
        <w:ind w:firstLine="600" w:firstLineChars="200"/>
        <w:rPr>
          <w:rFonts w:ascii="仿宋" w:hAnsi="仿宋" w:eastAsia="仿宋"/>
          <w:sz w:val="30"/>
          <w:szCs w:val="30"/>
        </w:rPr>
      </w:pPr>
      <w:r>
        <w:rPr>
          <w:rFonts w:hint="eastAsia" w:ascii="仿宋" w:hAnsi="仿宋" w:eastAsia="仿宋"/>
          <w:sz w:val="30"/>
          <w:szCs w:val="30"/>
        </w:rPr>
        <w:t>3、协调劳资关系，参与协调解决涉及职工的切身利益问题；开展区域性、行业性协商谈判和签订集体合同工作，推进企业建立职工民主管理制度；</w:t>
      </w:r>
    </w:p>
    <w:p w14:paraId="1F4E9D22">
      <w:pPr>
        <w:spacing w:line="330" w:lineRule="atLeast"/>
        <w:ind w:firstLine="600" w:firstLineChars="200"/>
        <w:rPr>
          <w:rFonts w:ascii="仿宋" w:hAnsi="仿宋" w:eastAsia="仿宋"/>
          <w:sz w:val="30"/>
          <w:szCs w:val="30"/>
        </w:rPr>
      </w:pPr>
      <w:r>
        <w:rPr>
          <w:rFonts w:hint="eastAsia" w:ascii="仿宋" w:hAnsi="仿宋" w:eastAsia="仿宋"/>
          <w:sz w:val="30"/>
          <w:szCs w:val="30"/>
        </w:rPr>
        <w:t>4、监督劳动合同制度执行情况，协助做好劳动合同管理工作，参与协调处理劳动争议，保障职工合法权益；</w:t>
      </w:r>
    </w:p>
    <w:p w14:paraId="3E4CA6D2">
      <w:pPr>
        <w:spacing w:line="330" w:lineRule="atLeast"/>
        <w:ind w:firstLine="600" w:firstLineChars="200"/>
        <w:rPr>
          <w:rFonts w:ascii="仿宋" w:hAnsi="仿宋" w:eastAsia="仿宋"/>
          <w:sz w:val="30"/>
          <w:szCs w:val="30"/>
        </w:rPr>
      </w:pPr>
      <w:r>
        <w:rPr>
          <w:rFonts w:hint="eastAsia" w:ascii="仿宋" w:hAnsi="仿宋" w:eastAsia="仿宋"/>
          <w:sz w:val="30"/>
          <w:szCs w:val="30"/>
        </w:rPr>
        <w:t>5、建立完善困难帮扶机制，实施送温暖工程，为职工办实事、好事；</w:t>
      </w:r>
    </w:p>
    <w:p w14:paraId="1393CDA8">
      <w:pPr>
        <w:spacing w:line="330" w:lineRule="atLeast"/>
        <w:ind w:firstLine="600" w:firstLineChars="200"/>
        <w:rPr>
          <w:rFonts w:ascii="仿宋" w:hAnsi="仿宋" w:eastAsia="仿宋"/>
          <w:sz w:val="30"/>
          <w:szCs w:val="30"/>
        </w:rPr>
      </w:pPr>
      <w:r>
        <w:rPr>
          <w:rFonts w:hint="eastAsia" w:ascii="仿宋" w:hAnsi="仿宋" w:eastAsia="仿宋"/>
          <w:sz w:val="30"/>
          <w:szCs w:val="30"/>
        </w:rPr>
        <w:t>6、推进基层工会规范化建设，建立“十有”标准，开展3A等级五好工会创建活动；</w:t>
      </w:r>
    </w:p>
    <w:p w14:paraId="5BCB2490">
      <w:pPr>
        <w:spacing w:line="330" w:lineRule="atLeast"/>
        <w:ind w:firstLine="600" w:firstLineChars="200"/>
        <w:rPr>
          <w:rFonts w:ascii="仿宋" w:hAnsi="仿宋" w:eastAsia="仿宋"/>
          <w:sz w:val="30"/>
          <w:szCs w:val="30"/>
        </w:rPr>
      </w:pPr>
      <w:r>
        <w:rPr>
          <w:rFonts w:hint="eastAsia" w:ascii="仿宋" w:hAnsi="仿宋" w:eastAsia="仿宋"/>
          <w:sz w:val="30"/>
          <w:szCs w:val="30"/>
        </w:rPr>
        <w:t>7、指导基层工会开展建设职工之家、职工服务站等活动，增强基层工会活力；</w:t>
      </w:r>
    </w:p>
    <w:p w14:paraId="6BDC97A3">
      <w:pPr>
        <w:spacing w:line="330" w:lineRule="atLeast"/>
        <w:ind w:firstLine="600" w:firstLineChars="200"/>
        <w:rPr>
          <w:rFonts w:ascii="仿宋" w:hAnsi="仿宋" w:eastAsia="仿宋"/>
          <w:sz w:val="30"/>
          <w:szCs w:val="30"/>
        </w:rPr>
      </w:pPr>
      <w:r>
        <w:rPr>
          <w:rFonts w:hint="eastAsia" w:ascii="仿宋" w:hAnsi="仿宋" w:eastAsia="仿宋"/>
          <w:sz w:val="30"/>
          <w:szCs w:val="30"/>
        </w:rPr>
        <w:t>8、负责基层工会干部的培训和职工技能培训，组织职工开展形式多样的劳动竞赛、技术革新活动，建设“四有”职工队伍；</w:t>
      </w:r>
    </w:p>
    <w:p w14:paraId="7B8CDCB1">
      <w:pPr>
        <w:spacing w:line="330" w:lineRule="atLeast"/>
        <w:ind w:firstLine="600" w:firstLineChars="200"/>
        <w:rPr>
          <w:rFonts w:ascii="仿宋" w:hAnsi="仿宋" w:eastAsia="仿宋"/>
          <w:sz w:val="30"/>
          <w:szCs w:val="30"/>
        </w:rPr>
      </w:pPr>
      <w:r>
        <w:rPr>
          <w:rFonts w:hint="eastAsia" w:ascii="仿宋" w:hAnsi="仿宋" w:eastAsia="仿宋"/>
          <w:sz w:val="30"/>
          <w:szCs w:val="30"/>
        </w:rPr>
        <w:t>9、组织干部职工广泛开展有益于身心健康的丰富多彩的文化、体育活动，丰富和活跃广大干部职工的文化生活，办好职工文化活动中心；</w:t>
      </w:r>
    </w:p>
    <w:p w14:paraId="34609487">
      <w:pPr>
        <w:spacing w:line="330" w:lineRule="atLeast"/>
        <w:ind w:firstLine="600" w:firstLineChars="200"/>
        <w:rPr>
          <w:rFonts w:ascii="仿宋" w:hAnsi="仿宋" w:eastAsia="仿宋"/>
          <w:sz w:val="30"/>
          <w:szCs w:val="30"/>
        </w:rPr>
      </w:pPr>
      <w:r>
        <w:rPr>
          <w:rFonts w:hint="eastAsia" w:ascii="仿宋" w:hAnsi="仿宋" w:eastAsia="仿宋"/>
          <w:sz w:val="30"/>
          <w:szCs w:val="30"/>
        </w:rPr>
        <w:t>10、协助园区管委会进行全国和市级劳动模范和先进生产（工作）者的评选、表彰、培养和管理工作；</w:t>
      </w:r>
    </w:p>
    <w:p w14:paraId="307AAD9F">
      <w:pPr>
        <w:spacing w:line="330" w:lineRule="atLeast"/>
        <w:ind w:firstLine="600" w:firstLineChars="200"/>
        <w:rPr>
          <w:rFonts w:ascii="仿宋" w:hAnsi="仿宋" w:eastAsia="仿宋"/>
          <w:sz w:val="30"/>
          <w:szCs w:val="30"/>
        </w:rPr>
      </w:pPr>
      <w:r>
        <w:rPr>
          <w:rFonts w:hint="eastAsia" w:ascii="仿宋" w:hAnsi="仿宋" w:eastAsia="仿宋"/>
          <w:sz w:val="30"/>
          <w:szCs w:val="30"/>
        </w:rPr>
        <w:t>11、负责园区工会经费的收缴、管理、使用、监督检查和审计工作；负责园区工会系统的资产管理。</w:t>
      </w:r>
    </w:p>
    <w:p w14:paraId="2443A85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6B0F7D0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2020年总工会部门预算为本部综合收支计划，无二级单位。</w:t>
      </w:r>
    </w:p>
    <w:p w14:paraId="79294957">
      <w:pPr>
        <w:widowControl/>
        <w:spacing w:line="330" w:lineRule="atLeast"/>
        <w:ind w:firstLine="600" w:firstLineChars="200"/>
        <w:jc w:val="left"/>
        <w:rPr>
          <w:rFonts w:ascii="仿宋" w:hAnsi="仿宋" w:eastAsia="仿宋" w:cs="仿宋"/>
          <w:color w:val="000000"/>
          <w:kern w:val="0"/>
          <w:sz w:val="30"/>
          <w:szCs w:val="30"/>
        </w:rPr>
      </w:pPr>
    </w:p>
    <w:p w14:paraId="2314390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 部门预算情况说明</w:t>
      </w:r>
    </w:p>
    <w:p w14:paraId="338AEB8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4B3DDAE">
      <w:pPr>
        <w:widowControl/>
        <w:spacing w:line="330" w:lineRule="atLeast"/>
        <w:ind w:firstLine="600" w:firstLineChars="200"/>
        <w:jc w:val="left"/>
        <w:rPr>
          <w:rFonts w:ascii="仿宋" w:hAnsi="仿宋" w:eastAsia="仿宋" w:cs="仿宋"/>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按照综合预算的原则，本部门所有收入和支出均纳入部门预算管理，无下级预算单位。收入包括：财政拨款收入51.1万元；支出包括：</w:t>
      </w:r>
      <w:r>
        <w:rPr>
          <w:rFonts w:hint="eastAsia" w:ascii="仿宋" w:hAnsi="仿宋" w:eastAsia="仿宋" w:cs="仿宋"/>
          <w:sz w:val="30"/>
          <w:szCs w:val="30"/>
        </w:rPr>
        <w:t>商品和服务支出27.1万元；对个人和家庭的补助支出24万元。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年预算数减少0.5万元，其中财政拨款收入比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年预算数减少0.5万元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9年预算数减少0.5万元，其中</w:t>
      </w:r>
      <w:r>
        <w:rPr>
          <w:rFonts w:hint="eastAsia" w:ascii="仿宋" w:hAnsi="仿宋" w:eastAsia="仿宋" w:cs="仿宋"/>
          <w:sz w:val="30"/>
          <w:szCs w:val="30"/>
        </w:rPr>
        <w:t>商品和服务支出减少2万元，对个人和家庭的补助增加1.5万元。</w:t>
      </w:r>
    </w:p>
    <w:p w14:paraId="05B4CBE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2895AD21">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事项,与去年相同。主要是按照中央及市委、市政府关于厉行节约、改进工作作风、密切联系群众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5987BA3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63FAE25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机关运行经费包括定额公用经费6.1万元。</w:t>
      </w:r>
    </w:p>
    <w:p w14:paraId="340CC0D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103AD88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1ADCC93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54A233E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7804E051">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208AB627">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国有资产占有使用情况说明为：截至2019年12月31日，部门（单位）共有车辆0辆；单位价值50万元（含）以上通用设备0台（套）；单位价值100万元以上专用设备0台（套）。</w:t>
      </w:r>
    </w:p>
    <w:p w14:paraId="074109AC">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6B9449BD">
      <w:pPr>
        <w:widowControl/>
        <w:spacing w:line="330" w:lineRule="atLeast"/>
        <w:ind w:firstLine="600" w:firstLineChars="200"/>
        <w:jc w:val="left"/>
        <w:rPr>
          <w:rFonts w:ascii="仿宋" w:hAnsi="仿宋" w:eastAsia="仿宋" w:cs="Verdana"/>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20年，按照“先有绩效，后有预算”原则，本部门共计编制绩效目标5个，预算金额</w:t>
      </w:r>
      <w:r>
        <w:rPr>
          <w:rFonts w:ascii="仿宋" w:hAnsi="仿宋" w:eastAsia="仿宋" w:cs="Verdana"/>
          <w:kern w:val="0"/>
          <w:sz w:val="30"/>
          <w:szCs w:val="30"/>
        </w:rPr>
        <w:t>45</w:t>
      </w:r>
      <w:r>
        <w:rPr>
          <w:rFonts w:hint="eastAsia" w:ascii="仿宋" w:hAnsi="仿宋" w:eastAsia="仿宋" w:cs="Verdana"/>
          <w:kern w:val="0"/>
          <w:sz w:val="30"/>
          <w:szCs w:val="30"/>
        </w:rPr>
        <w:t>万元，占项目支出预算比重</w:t>
      </w:r>
      <w:r>
        <w:rPr>
          <w:rFonts w:ascii="仿宋" w:hAnsi="仿宋" w:eastAsia="仿宋" w:cs="Verdana"/>
          <w:kern w:val="0"/>
          <w:sz w:val="30"/>
          <w:szCs w:val="30"/>
        </w:rPr>
        <w:t>100%</w:t>
      </w:r>
      <w:r>
        <w:rPr>
          <w:rFonts w:hint="eastAsia" w:ascii="仿宋" w:hAnsi="仿宋" w:eastAsia="仿宋" w:cs="Verdana"/>
          <w:kern w:val="0"/>
          <w:sz w:val="30"/>
          <w:szCs w:val="30"/>
        </w:rPr>
        <w:t>。</w:t>
      </w:r>
    </w:p>
    <w:p w14:paraId="7FC72474">
      <w:pPr>
        <w:jc w:val="center"/>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八、区团工委“青少年综合服务平台建设及活动费用”的</w:t>
      </w:r>
    </w:p>
    <w:p w14:paraId="03742BCB">
      <w:pPr>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情况说明</w:t>
      </w:r>
    </w:p>
    <w:p w14:paraId="07D2BFCC">
      <w:pPr>
        <w:spacing w:line="560" w:lineRule="exact"/>
        <w:ind w:firstLine="600" w:firstLineChars="200"/>
        <w:outlineLvl w:val="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项目概述</w:t>
      </w:r>
    </w:p>
    <w:p w14:paraId="363D0A56">
      <w:pPr>
        <w:spacing w:line="580" w:lineRule="exact"/>
        <w:ind w:firstLine="600" w:firstLineChars="200"/>
        <w:rPr>
          <w:rFonts w:ascii="仿宋" w:hAnsi="仿宋" w:eastAsia="仿宋" w:cs="仿宋"/>
          <w:sz w:val="30"/>
          <w:szCs w:val="30"/>
        </w:rPr>
      </w:pPr>
      <w:r>
        <w:rPr>
          <w:rFonts w:ascii="仿宋" w:hAnsi="仿宋" w:eastAsia="仿宋" w:cs="仿宋"/>
          <w:sz w:val="30"/>
          <w:szCs w:val="30"/>
        </w:rPr>
        <w:t>2014</w:t>
      </w:r>
      <w:r>
        <w:rPr>
          <w:rFonts w:hint="eastAsia" w:ascii="仿宋" w:hAnsi="仿宋" w:eastAsia="仿宋" w:cs="仿宋"/>
          <w:sz w:val="30"/>
          <w:szCs w:val="30"/>
        </w:rPr>
        <w:t>年以来，在团中央、团省委、团市委的统一部署下，我区积极推进团属服务阵地</w:t>
      </w:r>
      <w:r>
        <w:rPr>
          <w:rFonts w:ascii="仿宋" w:hAnsi="仿宋" w:eastAsia="仿宋" w:cs="仿宋"/>
          <w:sz w:val="30"/>
          <w:szCs w:val="30"/>
        </w:rPr>
        <w:t>-</w:t>
      </w:r>
      <w:r>
        <w:rPr>
          <w:rFonts w:hint="eastAsia" w:ascii="仿宋" w:hAnsi="仿宋" w:eastAsia="仿宋" w:cs="仿宋"/>
          <w:sz w:val="30"/>
          <w:szCs w:val="30"/>
        </w:rPr>
        <w:t>青少年综合服务平台的建设工作，截至目前，我区共建设青少年综合服务平台四家。</w:t>
      </w:r>
    </w:p>
    <w:p w14:paraId="210EFF80">
      <w:pPr>
        <w:spacing w:line="560" w:lineRule="exact"/>
        <w:ind w:firstLine="600" w:firstLineChars="200"/>
        <w:outlineLvl w:val="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立项依据</w:t>
      </w:r>
    </w:p>
    <w:p w14:paraId="17DF0142">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为深入贯彻团的十八大、团十八届二中、三中、四中全会精神，按照上级团组织《深化“青少年空间”建设三年行动实施方案（</w:t>
      </w:r>
      <w:r>
        <w:rPr>
          <w:rFonts w:ascii="仿宋" w:hAnsi="仿宋" w:eastAsia="仿宋" w:cs="仿宋"/>
          <w:color w:val="000000"/>
          <w:kern w:val="0"/>
          <w:sz w:val="30"/>
          <w:szCs w:val="30"/>
        </w:rPr>
        <w:t>2020-2022</w:t>
      </w:r>
      <w:r>
        <w:rPr>
          <w:rFonts w:hint="eastAsia" w:ascii="仿宋" w:hAnsi="仿宋" w:eastAsia="仿宋" w:cs="仿宋"/>
          <w:color w:val="000000"/>
          <w:kern w:val="0"/>
          <w:sz w:val="30"/>
          <w:szCs w:val="30"/>
        </w:rPr>
        <w:t>）》文件要求，进一步强化我区“青少年空间”（综合服务平台）建设。</w:t>
      </w:r>
    </w:p>
    <w:p w14:paraId="54D124F4">
      <w:pPr>
        <w:spacing w:line="560" w:lineRule="exact"/>
        <w:ind w:firstLine="600" w:firstLineChars="200"/>
        <w:outlineLvl w:val="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实施主体</w:t>
      </w:r>
    </w:p>
    <w:p w14:paraId="131A89E0">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高新区团工委。</w:t>
      </w:r>
    </w:p>
    <w:p w14:paraId="3B98DC50">
      <w:pPr>
        <w:spacing w:line="560" w:lineRule="exact"/>
        <w:ind w:firstLine="600" w:firstLineChars="200"/>
        <w:outlineLvl w:val="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实施方案</w:t>
      </w:r>
    </w:p>
    <w:p w14:paraId="7B40BF63">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大力推动团的组织形态、工作力量、服务项目在团员青年身边发挥有形化、日常化作用。充分发挥青年社会组织联系青年、服务社会的作用，切实把青少年综合服务平台打造成承载团的工作和活动、整合社会资源和力量、联系和服务青少年的阵地，从而全面推动共青团服务青年的能力和水平。</w:t>
      </w:r>
    </w:p>
    <w:p w14:paraId="226066B5">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实施周期</w:t>
      </w:r>
    </w:p>
    <w:p w14:paraId="5E24B083">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该项目实施周期为</w:t>
      </w: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-2022</w:t>
      </w:r>
      <w:r>
        <w:rPr>
          <w:rFonts w:hint="eastAsia" w:ascii="仿宋" w:hAnsi="仿宋" w:eastAsia="仿宋" w:cs="仿宋"/>
          <w:color w:val="000000"/>
          <w:kern w:val="0"/>
          <w:sz w:val="30"/>
          <w:szCs w:val="30"/>
        </w:rPr>
        <w:t>年。</w:t>
      </w:r>
    </w:p>
    <w:p w14:paraId="5CBA3EEE">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年度预算安排</w:t>
      </w:r>
    </w:p>
    <w:p w14:paraId="6EC7194A">
      <w:pPr>
        <w:spacing w:line="560" w:lineRule="exact"/>
        <w:ind w:left="640"/>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年拟安排该项目一般公共预算</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万元，其中：</w:t>
      </w:r>
    </w:p>
    <w:p w14:paraId="4CDBA728">
      <w:pPr>
        <w:spacing w:line="560" w:lineRule="exact"/>
        <w:ind w:firstLine="300" w:firstLineChars="1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1</w:t>
      </w:r>
      <w:r>
        <w:rPr>
          <w:rFonts w:hint="eastAsia" w:ascii="仿宋" w:hAnsi="仿宋" w:eastAsia="仿宋"/>
          <w:sz w:val="30"/>
          <w:szCs w:val="30"/>
        </w:rPr>
        <w:t>）制作平台统一标识的费用，</w:t>
      </w:r>
      <w:r>
        <w:rPr>
          <w:rFonts w:ascii="仿宋" w:hAnsi="仿宋" w:eastAsia="仿宋"/>
          <w:sz w:val="30"/>
          <w:szCs w:val="30"/>
        </w:rPr>
        <w:t>1000</w:t>
      </w:r>
      <w:r>
        <w:rPr>
          <w:rFonts w:hint="eastAsia" w:ascii="仿宋" w:hAnsi="仿宋" w:eastAsia="仿宋"/>
          <w:sz w:val="30"/>
          <w:szCs w:val="30"/>
        </w:rPr>
        <w:t>元</w:t>
      </w:r>
    </w:p>
    <w:p w14:paraId="2FF14943">
      <w:pPr>
        <w:spacing w:line="560" w:lineRule="exact"/>
        <w:rPr>
          <w:rFonts w:ascii="仿宋" w:hAnsi="仿宋" w:eastAsia="仿宋"/>
          <w:sz w:val="30"/>
          <w:szCs w:val="30"/>
        </w:rPr>
      </w:pPr>
      <w:r>
        <w:rPr>
          <w:rFonts w:hint="eastAsia" w:ascii="仿宋" w:hAnsi="仿宋" w:eastAsia="仿宋"/>
          <w:sz w:val="30"/>
          <w:szCs w:val="30"/>
        </w:rPr>
        <w:t>　（</w:t>
      </w:r>
      <w:r>
        <w:rPr>
          <w:rFonts w:ascii="仿宋" w:hAnsi="仿宋" w:eastAsia="仿宋"/>
          <w:sz w:val="30"/>
          <w:szCs w:val="30"/>
        </w:rPr>
        <w:t>2</w:t>
      </w:r>
      <w:r>
        <w:rPr>
          <w:rFonts w:hint="eastAsia" w:ascii="仿宋" w:hAnsi="仿宋" w:eastAsia="仿宋"/>
          <w:sz w:val="30"/>
          <w:szCs w:val="30"/>
        </w:rPr>
        <w:t>）购买团旗、团徽，订阅团报、团刊等团务用品的费用，</w:t>
      </w:r>
      <w:r>
        <w:rPr>
          <w:rFonts w:ascii="仿宋" w:hAnsi="仿宋" w:eastAsia="仿宋"/>
          <w:sz w:val="30"/>
          <w:szCs w:val="30"/>
        </w:rPr>
        <w:t>1000</w:t>
      </w:r>
      <w:r>
        <w:rPr>
          <w:rFonts w:hint="eastAsia" w:ascii="仿宋" w:hAnsi="仿宋" w:eastAsia="仿宋"/>
          <w:sz w:val="30"/>
          <w:szCs w:val="30"/>
        </w:rPr>
        <w:t>元。</w:t>
      </w:r>
    </w:p>
    <w:p w14:paraId="0D814E4B">
      <w:pPr>
        <w:spacing w:line="560" w:lineRule="exact"/>
        <w:rPr>
          <w:rFonts w:ascii="仿宋" w:hAnsi="仿宋" w:eastAsia="仿宋"/>
          <w:sz w:val="30"/>
          <w:szCs w:val="30"/>
        </w:rPr>
      </w:pPr>
      <w:r>
        <w:rPr>
          <w:rFonts w:hint="eastAsia" w:ascii="仿宋" w:hAnsi="仿宋" w:eastAsia="仿宋"/>
          <w:sz w:val="30"/>
          <w:szCs w:val="30"/>
        </w:rPr>
        <w:t>　（</w:t>
      </w:r>
      <w:r>
        <w:rPr>
          <w:rFonts w:ascii="仿宋" w:hAnsi="仿宋" w:eastAsia="仿宋"/>
          <w:sz w:val="30"/>
          <w:szCs w:val="30"/>
        </w:rPr>
        <w:t>3</w:t>
      </w:r>
      <w:r>
        <w:rPr>
          <w:rFonts w:hint="eastAsia" w:ascii="仿宋" w:hAnsi="仿宋" w:eastAsia="仿宋"/>
          <w:sz w:val="30"/>
          <w:szCs w:val="30"/>
        </w:rPr>
        <w:t>）购置基本服务设施的费用</w:t>
      </w:r>
      <w:r>
        <w:rPr>
          <w:rFonts w:ascii="仿宋" w:hAnsi="仿宋" w:eastAsia="仿宋"/>
          <w:sz w:val="30"/>
          <w:szCs w:val="30"/>
        </w:rPr>
        <w:t>4000</w:t>
      </w:r>
      <w:r>
        <w:rPr>
          <w:rFonts w:hint="eastAsia" w:ascii="仿宋" w:hAnsi="仿宋" w:eastAsia="仿宋"/>
          <w:sz w:val="30"/>
          <w:szCs w:val="30"/>
        </w:rPr>
        <w:t>元。</w:t>
      </w:r>
    </w:p>
    <w:p w14:paraId="1863A121">
      <w:pPr>
        <w:spacing w:line="560" w:lineRule="exact"/>
        <w:rPr>
          <w:rFonts w:ascii="仿宋" w:hAnsi="仿宋" w:eastAsia="仿宋"/>
          <w:sz w:val="30"/>
          <w:szCs w:val="30"/>
        </w:rPr>
      </w:pPr>
      <w:r>
        <w:rPr>
          <w:rFonts w:hint="eastAsia" w:ascii="仿宋" w:hAnsi="仿宋" w:eastAsia="仿宋"/>
          <w:sz w:val="30"/>
          <w:szCs w:val="30"/>
        </w:rPr>
        <w:t>　（</w:t>
      </w:r>
      <w:r>
        <w:rPr>
          <w:rFonts w:ascii="仿宋" w:hAnsi="仿宋" w:eastAsia="仿宋"/>
          <w:sz w:val="30"/>
          <w:szCs w:val="30"/>
        </w:rPr>
        <w:t>4</w:t>
      </w:r>
      <w:r>
        <w:rPr>
          <w:rFonts w:hint="eastAsia" w:ascii="仿宋" w:hAnsi="仿宋" w:eastAsia="仿宋"/>
          <w:sz w:val="30"/>
          <w:szCs w:val="30"/>
        </w:rPr>
        <w:t>）支持青年社会组织开展服务项目的费用</w:t>
      </w:r>
      <w:r>
        <w:rPr>
          <w:rFonts w:ascii="仿宋" w:hAnsi="仿宋" w:eastAsia="仿宋"/>
          <w:sz w:val="30"/>
          <w:szCs w:val="30"/>
        </w:rPr>
        <w:t>10000</w:t>
      </w:r>
      <w:r>
        <w:rPr>
          <w:rFonts w:hint="eastAsia" w:ascii="仿宋" w:hAnsi="仿宋" w:eastAsia="仿宋"/>
          <w:sz w:val="30"/>
          <w:szCs w:val="30"/>
        </w:rPr>
        <w:t>。</w:t>
      </w:r>
    </w:p>
    <w:p w14:paraId="4E668C95">
      <w:pPr>
        <w:spacing w:line="560" w:lineRule="exact"/>
        <w:rPr>
          <w:rFonts w:ascii="仿宋" w:hAnsi="仿宋" w:eastAsia="仿宋"/>
          <w:sz w:val="30"/>
          <w:szCs w:val="30"/>
        </w:rPr>
      </w:pPr>
      <w:r>
        <w:rPr>
          <w:rFonts w:hint="eastAsia" w:ascii="仿宋" w:hAnsi="仿宋" w:eastAsia="仿宋"/>
          <w:sz w:val="30"/>
          <w:szCs w:val="30"/>
        </w:rPr>
        <w:t>　（</w:t>
      </w:r>
      <w:r>
        <w:rPr>
          <w:rFonts w:ascii="仿宋" w:hAnsi="仿宋" w:eastAsia="仿宋"/>
          <w:sz w:val="30"/>
          <w:szCs w:val="30"/>
        </w:rPr>
        <w:t>5</w:t>
      </w:r>
      <w:r>
        <w:rPr>
          <w:rFonts w:hint="eastAsia" w:ascii="仿宋" w:hAnsi="仿宋" w:eastAsia="仿宋"/>
          <w:sz w:val="30"/>
          <w:szCs w:val="30"/>
        </w:rPr>
        <w:t>）开展读书交流、文化讲座、文艺沙龙的费用</w:t>
      </w:r>
      <w:r>
        <w:rPr>
          <w:rFonts w:ascii="仿宋" w:hAnsi="仿宋" w:eastAsia="仿宋"/>
          <w:sz w:val="30"/>
          <w:szCs w:val="30"/>
        </w:rPr>
        <w:t>4000</w:t>
      </w:r>
      <w:r>
        <w:rPr>
          <w:rFonts w:hint="eastAsia" w:ascii="仿宋" w:hAnsi="仿宋" w:eastAsia="仿宋"/>
          <w:sz w:val="30"/>
          <w:szCs w:val="30"/>
        </w:rPr>
        <w:t>元。</w:t>
      </w:r>
    </w:p>
    <w:p w14:paraId="152AD2A3">
      <w:pPr>
        <w:spacing w:line="560" w:lineRule="exact"/>
        <w:rPr>
          <w:rFonts w:ascii="仿宋" w:hAnsi="仿宋" w:eastAsia="仿宋" w:cs="仿宋"/>
          <w:color w:val="000000"/>
          <w:kern w:val="0"/>
          <w:sz w:val="30"/>
          <w:szCs w:val="30"/>
        </w:rPr>
      </w:pPr>
      <w:r>
        <w:rPr>
          <w:rFonts w:hint="eastAsia" w:ascii="仿宋" w:hAnsi="仿宋" w:eastAsia="仿宋"/>
          <w:sz w:val="30"/>
          <w:szCs w:val="30"/>
        </w:rPr>
        <w:t>　</w:t>
      </w:r>
    </w:p>
    <w:p w14:paraId="2E0AB21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 名词解释</w:t>
      </w:r>
    </w:p>
    <w:p w14:paraId="7CBBEF7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1.财政拨款收入：指市财政当年拨付的资金。</w:t>
      </w:r>
      <w:r>
        <w:rPr>
          <w:rFonts w:ascii="仿宋" w:hAnsi="仿宋" w:eastAsia="仿宋" w:cs="仿宋"/>
          <w:color w:val="000000"/>
          <w:kern w:val="0"/>
          <w:sz w:val="30"/>
          <w:szCs w:val="30"/>
        </w:rPr>
        <w:t xml:space="preserve"> </w:t>
      </w:r>
    </w:p>
    <w:p w14:paraId="0188276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2.其他收入：指除“财政拨款收入”、“财政专户拨款收入”等以外的收入，包括事业单位经营性收入、上级补助收入、附属单位上缴收入等。</w:t>
      </w:r>
    </w:p>
    <w:p w14:paraId="557CADD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3.基本支出：指为保障机构正常运转、完成日常工作任务而发生的人员支出和公用支出。</w:t>
      </w:r>
    </w:p>
    <w:p w14:paraId="54E13DE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4.项目支出：指在基本支出之外为完成特定行政任务和事业发展目标所发生的支出。</w:t>
      </w:r>
    </w:p>
    <w:p w14:paraId="6E09566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A413FD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6.一般公共服务（类）财政事务（款）行政运行（项）：反映行政单位（包括实行公务员管理的事业单位）的基本支出。</w:t>
      </w:r>
    </w:p>
    <w:p w14:paraId="438463D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7.一般公共服务（类）财政事务（款）一般行政管理事务（项）：反映行政单位（包括实行公务员管理的事业单位）未单独设置项级科目的其他项目支出。</w:t>
      </w:r>
    </w:p>
    <w:p w14:paraId="0E587FD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8一般公共服务（类）财政事务（款）信息化建设（项）：反映财政部门用于“金财工程”等信息化建设方面的支出。</w:t>
      </w:r>
    </w:p>
    <w:p w14:paraId="2903685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9.一般公共服务（类）财政事务（款）财政委托业务支出（项）：反映财政委托评审机构进行财政投资评审和委托建设银行等机构代理业务发生的支出。</w:t>
      </w:r>
    </w:p>
    <w:p w14:paraId="34C1BB1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10. 一般公共服务（类）财政事务（款）事业运行（项）：反映事业单位的基本支出，不包括行政单位（包括实行公务员管理的事业单位）后勤服务中心、医务室等附属事业单位。</w:t>
      </w:r>
    </w:p>
    <w:p w14:paraId="6A56C29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11. 一般公共服务（类）财政事务（款）其他财政事务支出（项）：反映其他财政事务方面的支出。</w:t>
      </w:r>
    </w:p>
    <w:p w14:paraId="76089E9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12．教育支出（类）其他教育支出（款）其他教育支出（项）：反映其他用于教育方面的支出。</w:t>
      </w:r>
    </w:p>
    <w:p w14:paraId="794CFCD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13. 社会保障和就业（类）行政事业单位离退休（款）归口管理的行政单位离退休（项）：反映实行归口管理的行政单位（包括实行公务员管理的事业单位）开支的离退休经费。</w:t>
      </w:r>
    </w:p>
    <w:p w14:paraId="570ABAE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14. 社会保障和就业（类）行政事业单位离退休（款）机关事业单位基本养老保险缴费支出（项）：反映机关事业单位实施养老保险制度由单位缴纳的基本养老保险费支出。</w:t>
      </w:r>
    </w:p>
    <w:p w14:paraId="0218B46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68001DB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14:paraId="1AD993B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17.住房保障（类）住房改革（款）住房公积金（项）：反映行政事业单位按人力资源和社会保障部、财政部规定的基本工资和津贴补贴以及规定比例为职工缴纳的住房公积金。</w:t>
      </w:r>
    </w:p>
    <w:p w14:paraId="3FD1B6D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27FEE9A8">
      <w:pPr>
        <w:widowControl/>
        <w:spacing w:line="330" w:lineRule="atLeast"/>
        <w:ind w:firstLine="600" w:firstLineChars="200"/>
        <w:jc w:val="left"/>
        <w:rPr>
          <w:rFonts w:ascii="仿宋" w:hAnsi="仿宋" w:eastAsia="仿宋" w:cs="仿宋"/>
          <w:color w:val="000000"/>
          <w:kern w:val="0"/>
          <w:sz w:val="30"/>
          <w:szCs w:val="30"/>
        </w:rPr>
      </w:pPr>
    </w:p>
    <w:p w14:paraId="22E8106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2020</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日</w:t>
      </w:r>
    </w:p>
    <w:p w14:paraId="47B00C04">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F01060"/>
    <w:rsid w:val="000130C2"/>
    <w:rsid w:val="000437B9"/>
    <w:rsid w:val="0007277E"/>
    <w:rsid w:val="000A154A"/>
    <w:rsid w:val="000A55C1"/>
    <w:rsid w:val="000F54B1"/>
    <w:rsid w:val="00101BE5"/>
    <w:rsid w:val="00104AD4"/>
    <w:rsid w:val="0010550E"/>
    <w:rsid w:val="00164A2E"/>
    <w:rsid w:val="00165857"/>
    <w:rsid w:val="00187190"/>
    <w:rsid w:val="001961A4"/>
    <w:rsid w:val="001E3E93"/>
    <w:rsid w:val="001F3FC6"/>
    <w:rsid w:val="001F7058"/>
    <w:rsid w:val="0025570C"/>
    <w:rsid w:val="00257CB5"/>
    <w:rsid w:val="00264775"/>
    <w:rsid w:val="00265F8B"/>
    <w:rsid w:val="003003AA"/>
    <w:rsid w:val="00301ABB"/>
    <w:rsid w:val="00342DA2"/>
    <w:rsid w:val="00354407"/>
    <w:rsid w:val="00354C67"/>
    <w:rsid w:val="0038329B"/>
    <w:rsid w:val="003B50ED"/>
    <w:rsid w:val="003C65CD"/>
    <w:rsid w:val="003E61DA"/>
    <w:rsid w:val="003F2AA1"/>
    <w:rsid w:val="003F4DFF"/>
    <w:rsid w:val="00411197"/>
    <w:rsid w:val="004221E9"/>
    <w:rsid w:val="004D6C4C"/>
    <w:rsid w:val="00541DA3"/>
    <w:rsid w:val="00594FB5"/>
    <w:rsid w:val="005A04CC"/>
    <w:rsid w:val="005A173C"/>
    <w:rsid w:val="005F4DCC"/>
    <w:rsid w:val="00614500"/>
    <w:rsid w:val="006541E5"/>
    <w:rsid w:val="00674BB1"/>
    <w:rsid w:val="006C12E2"/>
    <w:rsid w:val="006C170C"/>
    <w:rsid w:val="006D1130"/>
    <w:rsid w:val="00753345"/>
    <w:rsid w:val="00753F26"/>
    <w:rsid w:val="00755C7B"/>
    <w:rsid w:val="0075621E"/>
    <w:rsid w:val="007805EB"/>
    <w:rsid w:val="00781763"/>
    <w:rsid w:val="00793572"/>
    <w:rsid w:val="007B12D0"/>
    <w:rsid w:val="007C5E3C"/>
    <w:rsid w:val="007F23D9"/>
    <w:rsid w:val="00805084"/>
    <w:rsid w:val="008207A6"/>
    <w:rsid w:val="00826E6F"/>
    <w:rsid w:val="008620BC"/>
    <w:rsid w:val="008641D1"/>
    <w:rsid w:val="008B01B8"/>
    <w:rsid w:val="008E0228"/>
    <w:rsid w:val="00910783"/>
    <w:rsid w:val="009244A6"/>
    <w:rsid w:val="00941B10"/>
    <w:rsid w:val="00961681"/>
    <w:rsid w:val="009652AA"/>
    <w:rsid w:val="0096533F"/>
    <w:rsid w:val="009848F0"/>
    <w:rsid w:val="009B32C3"/>
    <w:rsid w:val="009F1015"/>
    <w:rsid w:val="009F229D"/>
    <w:rsid w:val="00A12672"/>
    <w:rsid w:val="00A150E4"/>
    <w:rsid w:val="00A26A44"/>
    <w:rsid w:val="00A377FD"/>
    <w:rsid w:val="00A5549A"/>
    <w:rsid w:val="00A70656"/>
    <w:rsid w:val="00A7639E"/>
    <w:rsid w:val="00A924A6"/>
    <w:rsid w:val="00B053B7"/>
    <w:rsid w:val="00B217F1"/>
    <w:rsid w:val="00B40E6C"/>
    <w:rsid w:val="00B55894"/>
    <w:rsid w:val="00BE0EA7"/>
    <w:rsid w:val="00C052C0"/>
    <w:rsid w:val="00C204FC"/>
    <w:rsid w:val="00C67479"/>
    <w:rsid w:val="00C96408"/>
    <w:rsid w:val="00CB4A54"/>
    <w:rsid w:val="00CF43DA"/>
    <w:rsid w:val="00D10236"/>
    <w:rsid w:val="00D176CA"/>
    <w:rsid w:val="00D400F0"/>
    <w:rsid w:val="00D475D2"/>
    <w:rsid w:val="00D61DE3"/>
    <w:rsid w:val="00D82E50"/>
    <w:rsid w:val="00DC1136"/>
    <w:rsid w:val="00DD605A"/>
    <w:rsid w:val="00DD67CE"/>
    <w:rsid w:val="00DF2079"/>
    <w:rsid w:val="00E1574D"/>
    <w:rsid w:val="00E160F9"/>
    <w:rsid w:val="00E54390"/>
    <w:rsid w:val="00E64071"/>
    <w:rsid w:val="00E679E1"/>
    <w:rsid w:val="00E76B18"/>
    <w:rsid w:val="00E804EF"/>
    <w:rsid w:val="00EA15E7"/>
    <w:rsid w:val="00EB6E55"/>
    <w:rsid w:val="00EE134B"/>
    <w:rsid w:val="00F01060"/>
    <w:rsid w:val="00F251AC"/>
    <w:rsid w:val="00F713C4"/>
    <w:rsid w:val="00F76F83"/>
    <w:rsid w:val="00F94B86"/>
    <w:rsid w:val="00FB5ECC"/>
    <w:rsid w:val="00FC5228"/>
    <w:rsid w:val="00FD042E"/>
    <w:rsid w:val="00FD7251"/>
    <w:rsid w:val="182C103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2861</Words>
  <Characters>2982</Characters>
  <Lines>23</Lines>
  <Paragraphs>6</Paragraphs>
  <TotalTime>68</TotalTime>
  <ScaleCrop>false</ScaleCrop>
  <LinksUpToDate>false</LinksUpToDate>
  <CharactersWithSpaces>3259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2025-12-19T07:32:14Z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CBD3B7AD83EA462791245FEE8E854D1D_12</vt:lpwstr>
  </property>
</Properties>
</file>