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045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大连市高新区市场监督管理局法律顾问</w:t>
      </w:r>
    </w:p>
    <w:p w14:paraId="39350FF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和公职律师制度</w:t>
      </w:r>
    </w:p>
    <w:p w14:paraId="0099764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p w14:paraId="3134A3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560" w:lineRule="exact"/>
        <w:ind w:right="203" w:firstLine="810"/>
        <w:jc w:val="both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为贯彻落实《关于推行法律顾问制度和公职律师公司律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师制度的意见》(中办发〔2016〕30号)有</w:t>
      </w:r>
      <w:r>
        <w:rPr>
          <w:rFonts w:ascii="仿宋" w:hAnsi="仿宋" w:eastAsia="仿宋" w:cs="仿宋"/>
          <w:spacing w:val="-1"/>
          <w:sz w:val="32"/>
          <w:szCs w:val="32"/>
        </w:rPr>
        <w:t>关精神，按照《大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7"/>
          <w:sz w:val="32"/>
          <w:szCs w:val="32"/>
        </w:rPr>
        <w:t>连市人民政府关于推行政府法律顾问制度的意见》(大政发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〔2016〕67号)的有关规定，遵循法</w:t>
      </w:r>
      <w:r>
        <w:rPr>
          <w:rFonts w:ascii="仿宋" w:hAnsi="仿宋" w:eastAsia="仿宋" w:cs="仿宋"/>
          <w:spacing w:val="-10"/>
          <w:sz w:val="32"/>
          <w:szCs w:val="32"/>
        </w:rPr>
        <w:t>治建设规律、公职律师和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1"/>
          <w:sz w:val="32"/>
          <w:szCs w:val="32"/>
        </w:rPr>
        <w:t>法律顾问、律师工作特点，积极推行法律顾问制度和公职律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师制度，提高依法行政的能力水平，结合我局实际，制定本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6"/>
          <w:sz w:val="32"/>
          <w:szCs w:val="32"/>
          <w:lang w:val="en-US" w:eastAsia="zh-CN"/>
        </w:rPr>
        <w:t>制度</w:t>
      </w:r>
      <w:r>
        <w:rPr>
          <w:rFonts w:ascii="仿宋" w:hAnsi="仿宋" w:eastAsia="仿宋" w:cs="仿宋"/>
          <w:spacing w:val="16"/>
          <w:sz w:val="32"/>
          <w:szCs w:val="32"/>
        </w:rPr>
        <w:t>。</w:t>
      </w:r>
    </w:p>
    <w:p w14:paraId="25A15A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" w:line="560" w:lineRule="exact"/>
        <w:ind w:left="160" w:right="155" w:firstLine="65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4"/>
          <w:sz w:val="32"/>
          <w:szCs w:val="32"/>
        </w:rPr>
        <w:t>一、建立和完善法律顾问制度和公职律师制度的重要意</w:t>
      </w:r>
      <w:r>
        <w:rPr>
          <w:rFonts w:ascii="黑体" w:hAnsi="黑体" w:eastAsia="黑体" w:cs="黑体"/>
          <w:spacing w:val="8"/>
          <w:sz w:val="32"/>
          <w:szCs w:val="32"/>
        </w:rPr>
        <w:t xml:space="preserve"> </w:t>
      </w:r>
      <w:r>
        <w:rPr>
          <w:rFonts w:ascii="黑体" w:hAnsi="黑体" w:eastAsia="黑体" w:cs="黑体"/>
          <w:sz w:val="32"/>
          <w:szCs w:val="32"/>
        </w:rPr>
        <w:t>义</w:t>
      </w:r>
    </w:p>
    <w:p w14:paraId="6699F0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建立和完善以区市场监管局法制员队伍为主体、吸收行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7"/>
          <w:sz w:val="32"/>
          <w:szCs w:val="32"/>
        </w:rPr>
        <w:t>政法专家和律师参加的法律顾问队伍，让法律顾问和</w:t>
      </w:r>
      <w:bookmarkStart w:id="0" w:name="_GoBack"/>
      <w:bookmarkEnd w:id="0"/>
      <w:r>
        <w:rPr>
          <w:rFonts w:ascii="仿宋" w:hAnsi="仿宋" w:eastAsia="仿宋" w:cs="仿宋"/>
          <w:spacing w:val="7"/>
          <w:sz w:val="32"/>
          <w:szCs w:val="32"/>
        </w:rPr>
        <w:t>公职律 师全面参与重大行政决策和依法行政工作，有利于增强行政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1"/>
          <w:sz w:val="32"/>
          <w:szCs w:val="32"/>
        </w:rPr>
        <w:t>机关领导干部及工作人员的法治观念，降低决策风险和成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本。切实增强建立和完善法律顾问制度和公职律师制度的紧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迫感和使命感，将法律顾问和公职律师工作作为法治政府建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9"/>
          <w:sz w:val="32"/>
          <w:szCs w:val="32"/>
        </w:rPr>
        <w:t>设的重要组成部分，加强统筹、积极协调、全面推进，充分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7"/>
          <w:sz w:val="32"/>
          <w:szCs w:val="32"/>
        </w:rPr>
        <w:t>发挥法律顾问和公职律师的积极作用。</w:t>
      </w:r>
    </w:p>
    <w:p w14:paraId="2E11B8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" w:line="560" w:lineRule="exact"/>
        <w:ind w:left="79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1"/>
          <w:sz w:val="32"/>
          <w:szCs w:val="32"/>
        </w:rPr>
        <w:t>二、法律顾问和公职律师的主要职责</w:t>
      </w:r>
    </w:p>
    <w:p w14:paraId="5DBB8F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  <w:sectPr>
          <w:footerReference r:id="rId5" w:type="default"/>
          <w:pgSz w:w="12140" w:h="16960"/>
          <w:pgMar w:top="1441" w:right="1821" w:bottom="1619" w:left="1759" w:header="0" w:footer="1331" w:gutter="0"/>
          <w:cols w:space="720" w:num="1"/>
        </w:sectPr>
      </w:pPr>
      <w:r>
        <w:rPr>
          <w:rFonts w:ascii="仿宋" w:hAnsi="仿宋" w:eastAsia="仿宋" w:cs="仿宋"/>
          <w:spacing w:val="6"/>
          <w:sz w:val="32"/>
          <w:szCs w:val="32"/>
        </w:rPr>
        <w:t>(一)为区市场监管局的重大决策、行政行为、合同行</w:t>
      </w:r>
    </w:p>
    <w:p w14:paraId="430361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right="89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为及其他法律事务提供法律意见；</w:t>
      </w:r>
    </w:p>
    <w:p w14:paraId="010A27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(二)为涉及区市场监管局的行政复议、诉讼、仲裁等 重大法律事务提供法律意见；</w:t>
      </w:r>
    </w:p>
    <w:p w14:paraId="4B900C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(三)代理区市场监管局的诉讼、仲裁、执行和其他非 诉讼法律事务；</w:t>
      </w:r>
    </w:p>
    <w:p w14:paraId="003DD5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(四)对区市场监管局起草或拟发布的规范性文件提供 咨询、审查意见，提出修改或废止建议；</w:t>
      </w:r>
    </w:p>
    <w:p w14:paraId="3D3B25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(五)根据需要参与区市场监管局对外交往和重大经济 项目的洽谈工作；</w:t>
      </w:r>
    </w:p>
    <w:p w14:paraId="20D28A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(六)参与区市场监管局行政执法监督活动并对行政执 法、行政执法监督工作提出意见和建议；</w:t>
      </w:r>
    </w:p>
    <w:p w14:paraId="13BF40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(七)参与区市场监管局有关法制培训和宣传工作；</w:t>
      </w:r>
    </w:p>
    <w:p w14:paraId="3AFF7F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(八)承办区市场监管局领导交办的其他重要法律事务。</w:t>
      </w:r>
    </w:p>
    <w:p w14:paraId="09F41A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三、加强法律顾问和公职律师的组织领导</w:t>
      </w:r>
    </w:p>
    <w:p w14:paraId="001408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充分发挥本单位法制员队伍和律师团队在推进依法行 政方面的重要作用。要从法制员队伍中遴选业务精通、实践 经验丰富的行政执法人员，积极推进公职人员参加司法资格 考试，外聘法律顾问要在知名的律师事务所中选取行政法方 面的律师，作为本单位法律顾问和公职律师的重要来源。</w:t>
      </w:r>
    </w:p>
    <w:p w14:paraId="00D592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(一)加强组织领导。</w:t>
      </w:r>
      <w:r>
        <w:rPr>
          <w:rFonts w:ascii="仿宋" w:hAnsi="仿宋" w:eastAsia="仿宋" w:cs="仿宋"/>
          <w:spacing w:val="6"/>
          <w:sz w:val="32"/>
          <w:szCs w:val="32"/>
        </w:rPr>
        <w:t>要充分认识建立法律顾问制度和 公职律师制度的重要性和必要性，将建立法律顾问制度和公</w:t>
      </w:r>
    </w:p>
    <w:p w14:paraId="58D84D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  <w:sectPr>
          <w:footerReference r:id="rId6" w:type="default"/>
          <w:pgSz w:w="11960" w:h="16860"/>
          <w:pgMar w:top="1433" w:right="1677" w:bottom="1696" w:left="1794" w:header="0" w:footer="1384" w:gutter="0"/>
          <w:cols w:space="720" w:num="1"/>
        </w:sectPr>
      </w:pPr>
    </w:p>
    <w:p w14:paraId="0AC7F3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right="89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职律师制度列入重要议事日程，抓好落实。</w:t>
      </w:r>
    </w:p>
    <w:p w14:paraId="39A6A9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(二)坚持保障到位。</w:t>
      </w:r>
      <w:r>
        <w:rPr>
          <w:rFonts w:ascii="仿宋" w:hAnsi="仿宋" w:eastAsia="仿宋" w:cs="仿宋"/>
          <w:spacing w:val="6"/>
          <w:sz w:val="32"/>
          <w:szCs w:val="32"/>
        </w:rPr>
        <w:t>积极争取保障法律顾问和公职律师所需经费，为其履行职责创造条件。借助法律顾问和公职律师的力量，注重自身依法行政能力的提高，通过借外力和增内力更好地推进法治政府建设水平。</w:t>
      </w:r>
    </w:p>
    <w:p w14:paraId="5DB561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160" w:right="89" w:firstLine="650"/>
        <w:jc w:val="both"/>
        <w:textAlignment w:val="baseline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(三)强化监督管理。</w:t>
      </w:r>
      <w:r>
        <w:rPr>
          <w:rFonts w:ascii="仿宋" w:hAnsi="仿宋" w:eastAsia="仿宋" w:cs="仿宋"/>
          <w:spacing w:val="6"/>
          <w:sz w:val="32"/>
          <w:szCs w:val="32"/>
        </w:rPr>
        <w:t>把外聘法律顾问的职责和义务纳入区市场监管局的法治监督工作中，建立日常管理信息通报、考评、诚信、保密等制度，将相关情况作为外聘法律顾问续聘、解聘的重要依据，形成能进能出、合理更新的选聘机制，有效发挥法律顾问的作用。</w:t>
      </w:r>
    </w:p>
    <w:p w14:paraId="468B60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p w14:paraId="2C636E42">
      <w:pPr>
        <w:pStyle w:val="2"/>
        <w:spacing w:line="242" w:lineRule="auto"/>
      </w:pPr>
    </w:p>
    <w:p w14:paraId="68D700F1">
      <w:pPr>
        <w:pStyle w:val="2"/>
        <w:spacing w:line="242" w:lineRule="auto"/>
      </w:pPr>
    </w:p>
    <w:p w14:paraId="431DBEEB">
      <w:pPr>
        <w:pStyle w:val="2"/>
        <w:spacing w:line="242" w:lineRule="auto"/>
      </w:pPr>
    </w:p>
    <w:p w14:paraId="02F589B7">
      <w:pPr>
        <w:pStyle w:val="2"/>
        <w:spacing w:line="242" w:lineRule="auto"/>
      </w:pPr>
    </w:p>
    <w:p w14:paraId="0E2567DC">
      <w:pPr>
        <w:pStyle w:val="2"/>
        <w:spacing w:line="242" w:lineRule="auto"/>
      </w:pPr>
    </w:p>
    <w:p w14:paraId="6114D9F7">
      <w:pPr>
        <w:pStyle w:val="2"/>
        <w:spacing w:line="242" w:lineRule="auto"/>
      </w:pPr>
    </w:p>
    <w:p w14:paraId="49490365">
      <w:pPr>
        <w:pStyle w:val="2"/>
        <w:spacing w:line="242" w:lineRule="auto"/>
      </w:pPr>
    </w:p>
    <w:p w14:paraId="0B536D61">
      <w:pPr>
        <w:pStyle w:val="2"/>
        <w:spacing w:line="242" w:lineRule="auto"/>
      </w:pPr>
    </w:p>
    <w:p w14:paraId="2C8C7FE1">
      <w:pPr>
        <w:pStyle w:val="2"/>
        <w:spacing w:line="242" w:lineRule="auto"/>
      </w:pPr>
    </w:p>
    <w:p w14:paraId="58C8B1C1">
      <w:pPr>
        <w:pStyle w:val="2"/>
        <w:spacing w:line="242" w:lineRule="auto"/>
      </w:pPr>
    </w:p>
    <w:p w14:paraId="59DEB7D0">
      <w:pPr>
        <w:pStyle w:val="2"/>
        <w:spacing w:line="242" w:lineRule="auto"/>
      </w:pPr>
    </w:p>
    <w:p w14:paraId="12E7AAB6">
      <w:pPr>
        <w:pStyle w:val="2"/>
        <w:spacing w:line="242" w:lineRule="auto"/>
      </w:pPr>
    </w:p>
    <w:p w14:paraId="499CB95E">
      <w:pPr>
        <w:pStyle w:val="2"/>
        <w:spacing w:line="242" w:lineRule="auto"/>
      </w:pPr>
    </w:p>
    <w:p w14:paraId="6695F539">
      <w:pPr>
        <w:pStyle w:val="2"/>
        <w:spacing w:line="242" w:lineRule="auto"/>
      </w:pPr>
    </w:p>
    <w:p w14:paraId="412B86B1">
      <w:pPr>
        <w:pStyle w:val="2"/>
        <w:spacing w:line="243" w:lineRule="auto"/>
      </w:pPr>
    </w:p>
    <w:p w14:paraId="0ACB64DF">
      <w:pPr>
        <w:pStyle w:val="2"/>
        <w:spacing w:line="243" w:lineRule="auto"/>
      </w:pPr>
    </w:p>
    <w:p w14:paraId="4A0A0553">
      <w:pPr>
        <w:pStyle w:val="2"/>
        <w:spacing w:line="243" w:lineRule="auto"/>
      </w:pPr>
    </w:p>
    <w:p w14:paraId="1F9B8DA7">
      <w:pPr>
        <w:pStyle w:val="2"/>
        <w:spacing w:line="243" w:lineRule="auto"/>
      </w:pPr>
    </w:p>
    <w:p w14:paraId="54ACB536">
      <w:pPr>
        <w:pStyle w:val="2"/>
        <w:spacing w:line="243" w:lineRule="auto"/>
      </w:pPr>
    </w:p>
    <w:p w14:paraId="130C3A35">
      <w:pPr>
        <w:pStyle w:val="2"/>
        <w:spacing w:line="243" w:lineRule="auto"/>
      </w:pPr>
    </w:p>
    <w:p w14:paraId="1C6A1069">
      <w:pPr>
        <w:pStyle w:val="2"/>
        <w:spacing w:line="243" w:lineRule="auto"/>
      </w:pPr>
    </w:p>
    <w:p w14:paraId="432CB880">
      <w:pPr>
        <w:pStyle w:val="2"/>
        <w:spacing w:line="243" w:lineRule="auto"/>
      </w:pPr>
    </w:p>
    <w:p w14:paraId="63E331FB">
      <w:pPr>
        <w:pStyle w:val="2"/>
        <w:spacing w:line="243" w:lineRule="auto"/>
      </w:pPr>
    </w:p>
    <w:sectPr>
      <w:footerReference r:id="rId7" w:type="default"/>
      <w:pgSz w:w="11960" w:h="16860"/>
      <w:pgMar w:top="1433" w:right="1069" w:bottom="1513" w:left="1660" w:header="0" w:footer="12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F0844">
    <w:pPr>
      <w:spacing w:line="232" w:lineRule="auto"/>
      <w:ind w:left="4200"/>
      <w:rPr>
        <w:rFonts w:ascii="宋体" w:hAnsi="宋体" w:eastAsia="宋体" w:cs="宋体"/>
        <w:sz w:val="22"/>
        <w:szCs w:val="22"/>
      </w:rPr>
    </w:pPr>
    <w:r>
      <w:rPr>
        <w:rFonts w:ascii="宋体" w:hAnsi="宋体" w:eastAsia="宋体" w:cs="宋体"/>
        <w:spacing w:val="-5"/>
        <w:w w:val="47"/>
        <w:sz w:val="22"/>
        <w:szCs w:val="22"/>
      </w:rPr>
      <w:t>—</w:t>
    </w:r>
    <w:r>
      <w:rPr>
        <w:rFonts w:ascii="宋体" w:hAnsi="宋体" w:eastAsia="宋体" w:cs="宋体"/>
        <w:spacing w:val="-15"/>
        <w:w w:val="91"/>
        <w:sz w:val="22"/>
        <w:szCs w:val="22"/>
      </w:rPr>
      <w:t>2—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16D9C2">
    <w:pPr>
      <w:spacing w:before="1" w:line="231" w:lineRule="auto"/>
      <w:ind w:left="4116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w w:val="50"/>
        <w:sz w:val="24"/>
        <w:szCs w:val="24"/>
      </w:rPr>
      <w:t>—</w:t>
    </w:r>
    <w:r>
      <w:rPr>
        <w:rFonts w:ascii="宋体" w:hAnsi="宋体" w:eastAsia="宋体" w:cs="宋体"/>
        <w:spacing w:val="-18"/>
        <w:w w:val="93"/>
        <w:sz w:val="24"/>
        <w:szCs w:val="24"/>
      </w:rPr>
      <w:t>3—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1A30F">
    <w:pPr>
      <w:spacing w:line="231" w:lineRule="auto"/>
      <w:ind w:left="4129"/>
      <w:rPr>
        <w:rFonts w:ascii="宋体" w:hAnsi="宋体" w:eastAsia="宋体" w:cs="宋体"/>
        <w:sz w:val="19"/>
        <w:szCs w:val="19"/>
      </w:rPr>
    </w:pPr>
    <w:r>
      <w:rPr>
        <w:rFonts w:ascii="宋体" w:hAnsi="宋体" w:eastAsia="宋体" w:cs="宋体"/>
        <w:spacing w:val="-5"/>
        <w:w w:val="52"/>
        <w:sz w:val="19"/>
        <w:szCs w:val="19"/>
      </w:rPr>
      <w:t>—</w:t>
    </w:r>
    <w:r>
      <w:rPr>
        <w:rFonts w:ascii="宋体" w:hAnsi="宋体" w:eastAsia="宋体" w:cs="宋体"/>
        <w:spacing w:val="-11"/>
        <w:w w:val="91"/>
        <w:sz w:val="19"/>
        <w:szCs w:val="19"/>
      </w:rPr>
      <w:t>4—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17B22DA"/>
    <w:rsid w:val="47384869"/>
    <w:rsid w:val="554B1715"/>
    <w:rsid w:val="631B10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859</Words>
  <Characters>867</Characters>
  <TotalTime>8</TotalTime>
  <ScaleCrop>false</ScaleCrop>
  <LinksUpToDate>false</LinksUpToDate>
  <CharactersWithSpaces>894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2026-07-13T10:50:00Z</dcterms:created>
  <dc:creator>Administrator</dc:creator>
  <cp:lastModifiedBy>巧玲</cp:lastModifiedBy>
  <dcterms:modified xsi:type="dcterms:W3CDTF">2026-07-13T02:59:14Z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2026-07-13T10:50:22Z</vt:filetime>
  </property>
  <property fmtid="{D5CDD505-2E9C-101B-9397-08002B2CF9AE}" pid="4" name="UsrData">
    <vt:lpwstr>6a54526a63bd8f001f4fed11wl</vt:lpwstr>
  </property>
  <property fmtid="{D5CDD505-2E9C-101B-9397-08002B2CF9AE}" pid="5" name="KSOTemplateDocerSaveRecord">
    <vt:lpwstr>eyJoZGlkIjoiZjdlYTA5ZWZmMjIwNzI0MTJhNzRlYzE3MTg2ZjFkNzkiLCJ1c2VySWQiOiI3NzExMTEzMzYifQ==</vt:lpwstr>
  </property>
  <property fmtid="{D5CDD505-2E9C-101B-9397-08002B2CF9AE}" pid="6" name="KSOProductBuildVer">
    <vt:lpwstr>2052-12.1.0.26895</vt:lpwstr>
  </property>
  <property fmtid="{D5CDD505-2E9C-101B-9397-08002B2CF9AE}" pid="7" name="ICV">
    <vt:lpwstr>A5000B34BA7D4372BBAE572905FE8C39_12</vt:lpwstr>
  </property>
</Properties>
</file>