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B5348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bdr w:val="none" w:color="auto" w:sz="0" w:space="0"/>
          <w:lang w:val="en-US" w:eastAsia="zh-CN"/>
        </w:rPr>
        <w:t>高新区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bdr w:val="none" w:color="auto" w:sz="0" w:space="0"/>
        </w:rPr>
        <w:t>市场监督管理局行政执法案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bdr w:val="none" w:color="auto" w:sz="0" w:space="0"/>
          <w:lang w:val="en-US" w:eastAsia="zh-CN"/>
        </w:rPr>
        <w:t>卷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bdr w:val="none" w:color="auto" w:sz="0" w:space="0"/>
        </w:rPr>
        <w:t>管理暂行办法</w:t>
      </w:r>
    </w:p>
    <w:p w14:paraId="6089170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bdr w:val="none" w:color="auto" w:sz="0" w:space="0"/>
        </w:rPr>
      </w:pPr>
    </w:p>
    <w:p w14:paraId="2383658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bdr w:val="none" w:color="auto" w:sz="0" w:space="0"/>
        </w:rPr>
        <w:t>第一章 总则</w:t>
      </w:r>
    </w:p>
    <w:p w14:paraId="4E4A74D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第一条 为规范本局行政执法案卷管理工作，统一案卷整理、归档、保管、查阅标准，保障行政执法档案完整、安全、可追溯，依据《中华人民共和国档案法》《市场监督管理行政处罚程序规定》等法律法规，结合本局工作实际，制定本办法。</w:t>
      </w:r>
    </w:p>
    <w:p w14:paraId="191C54D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第二条 本办法所称行政执法案卷，是指本局在行政许可、行政处罚、行政检查、行政强制、行政调解等执法活动中形成的文字、图表、音像、电子数据等全部办案材料的集合，属于国家专业档案范畴。</w:t>
      </w:r>
    </w:p>
    <w:p w14:paraId="5517271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第三条 案卷管理坚持</w:t>
      </w:r>
      <w:r>
        <w:rPr>
          <w:rStyle w:val="6"/>
          <w:rFonts w:hint="eastAsia" w:ascii="仿宋" w:hAnsi="仿宋" w:eastAsia="仿宋" w:cs="仿宋"/>
          <w:b w:val="0"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谁办案、谁整理、谁负责</w:t>
      </w:r>
      <w:r>
        <w:rPr>
          <w:rFonts w:hint="eastAsia" w:ascii="仿宋" w:hAnsi="仿宋" w:eastAsia="仿宋" w:cs="仿宋"/>
          <w:b w:val="0"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统一规范、集中保管、全程可控的原则，实现纸质案卷与电子案卷同步归档、闭环管理。</w:t>
      </w:r>
    </w:p>
    <w:p w14:paraId="779AF23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第二章 立卷归档规范</w:t>
      </w:r>
    </w:p>
    <w:p w14:paraId="5F71F7C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第四条 实行</w:t>
      </w:r>
      <w:r>
        <w:rPr>
          <w:rStyle w:val="6"/>
          <w:rFonts w:hint="eastAsia" w:ascii="仿宋" w:hAnsi="仿宋" w:eastAsia="仿宋" w:cs="仿宋"/>
          <w:b w:val="0"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一案一卷、分类立卷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制度。普通程序案件单独立卷，简易程序同类批量案件可合卷立卷；案卷统一分为正卷、副卷，分类整理、顺序规范。</w:t>
      </w:r>
    </w:p>
    <w:p w14:paraId="59EDB4D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第五条 正卷主要归档对外公开材料：立案审批、执法文书及送达回证、证据材料、听证笔录、处理决定、执行凭证等对外执法材料。副卷主要归档内部涉密材料：案源线索、调查终结报告、法制审核意见、集体讨论记录、结案审批等内部研判材料。</w:t>
      </w:r>
    </w:p>
    <w:p w14:paraId="2710721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第六条 案件办结、执行完毕、手续齐全后，办案人员</w:t>
      </w:r>
      <w:r>
        <w:rPr>
          <w:rStyle w:val="6"/>
          <w:rFonts w:hint="eastAsia" w:ascii="仿宋" w:hAnsi="仿宋" w:eastAsia="仿宋" w:cs="仿宋"/>
          <w:b w:val="0"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15 个工作日内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完成整理立卷，做到材料齐全、页码规范、装订整齐、目录清晰、无缺页漏项。</w:t>
      </w:r>
    </w:p>
    <w:p w14:paraId="0A0FA79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第三章 移交与保管</w:t>
      </w:r>
    </w:p>
    <w:p w14:paraId="430CF01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第七条 各业务科室、基层监管所每季度统一移交案卷至局档案室，履行交接登记手续，台账留存备查。</w:t>
      </w:r>
    </w:p>
    <w:p w14:paraId="6563C5D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第八条 档案室对接收案卷逐卷审核，对立卷不规范、材料缺失的，退回办案人员限期整改，整改合格后方可入库归档。</w:t>
      </w:r>
    </w:p>
    <w:p w14:paraId="39FE92C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第九条 严格落实档案保管制度，区分永久、长期、短期保管期限，实行专柜存放、专人管理，做好防潮、防火、防盗、防篡改防护，严禁私自销毁、涂改、抽换案卷材料。</w:t>
      </w:r>
    </w:p>
    <w:p w14:paraId="669F909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第四章 查阅与保密</w:t>
      </w:r>
    </w:p>
    <w:p w14:paraId="2C77AB4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第十条 本局内部调阅案卷、司法机关调卷、单位及群众依申请查阅案卷，须履行审批登记手续，登记查阅事由、查阅人员、查阅时间，严禁私自复印、外传、摘抄涉密内容。</w:t>
      </w:r>
    </w:p>
    <w:p w14:paraId="0657A9F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第十一条 严格落实案卷保密规定，严禁泄露案件调查信息、商业秘密、个人隐私及内部审核资料，杜绝跑风漏气、违规用档问题。</w:t>
      </w:r>
    </w:p>
    <w:p w14:paraId="7AE1165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第五章 监督追责</w:t>
      </w:r>
    </w:p>
    <w:p w14:paraId="7DC4050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第十二条 局法制部门常态化组织开展案卷评查，重点检查立卷质量、归档时效、保管规范、资料完整性。</w:t>
      </w:r>
    </w:p>
    <w:p w14:paraId="520BBD0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第十三条 对存在逾期归档、案卷残缺、私自销毁、篡改案卷、违规泄密等行为的，依规追究相关人员执法责任与工作责任。</w:t>
      </w:r>
    </w:p>
    <w:p w14:paraId="7BD061D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第六章 附则</w:t>
      </w:r>
    </w:p>
    <w:bookmarkEnd w:id="0"/>
    <w:p w14:paraId="0BC840D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 xml:space="preserve">第十四条 本办法由高新区市场监管局负责解释。 </w:t>
      </w:r>
    </w:p>
    <w:p w14:paraId="3A2D188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第十五条 本办法自印发之日起施行。</w:t>
      </w:r>
    </w:p>
    <w:p w14:paraId="73BF07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892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2026-07-10T10:29:22Z</dcterms:created>
  <dc:creator>Administrator</dc:creator>
  <cp:lastModifiedBy>巧玲</cp:lastModifiedBy>
  <dcterms:modified xsi:type="dcterms:W3CDTF">2026-07-10T10:39:19Z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eyJoZGlkIjoiZjdlYTA5ZWZmMjIwNzI0MTJhNzRlYzE3MTg2ZjFkNzkiLCJ1c2VySWQiOiI3NzExMTEzMzYifQ==</vt:lpwstr>
  </property>
  <property fmtid="{D5CDD505-2E9C-101B-9397-08002B2CF9AE}" pid="4" name="ICV">
    <vt:lpwstr>889FCD8CF3054A4398656552341F23A6_12</vt:lpwstr>
  </property>
</Properties>
</file>