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A022C7" w14:textId="77777777" w:rsidR="002E4046" w:rsidRDefault="00DB2512" w:rsidP="000813A6">
      <w:pPr>
        <w:shd w:val="clear" w:color="auto" w:fill="FFFFFF"/>
        <w:adjustRightInd w:val="0"/>
        <w:snapToGrid w:val="0"/>
        <w:jc w:val="center"/>
        <w:rPr>
          <w:rFonts w:ascii="方正小标宋简体" w:eastAsia="方正小标宋简体" w:hAnsi="PingFangSC-Regular" w:cs="宋体" w:hint="eastAsia"/>
          <w:color w:val="444444"/>
          <w:kern w:val="0"/>
          <w:sz w:val="44"/>
          <w:szCs w:val="44"/>
        </w:rPr>
      </w:pPr>
      <w:r w:rsidRPr="00DB2512">
        <w:rPr>
          <w:rFonts w:ascii="方正小标宋简体" w:eastAsia="方正小标宋简体" w:hAnsi="PingFangSC-Regular" w:cs="宋体" w:hint="eastAsia"/>
          <w:color w:val="444444"/>
          <w:kern w:val="0"/>
          <w:sz w:val="44"/>
          <w:szCs w:val="44"/>
        </w:rPr>
        <w:t>大连</w:t>
      </w:r>
      <w:r w:rsidR="000813A6">
        <w:rPr>
          <w:rFonts w:ascii="方正小标宋简体" w:eastAsia="方正小标宋简体" w:hAnsi="PingFangSC-Regular" w:cs="宋体" w:hint="eastAsia"/>
          <w:color w:val="444444"/>
          <w:kern w:val="0"/>
          <w:sz w:val="44"/>
          <w:szCs w:val="44"/>
        </w:rPr>
        <w:t>高新区社会管理局</w:t>
      </w:r>
    </w:p>
    <w:p w14:paraId="1511CE29" w14:textId="2462F5A6" w:rsidR="00DB2512" w:rsidRPr="00DB2512" w:rsidRDefault="00DB2512" w:rsidP="002E4046">
      <w:pPr>
        <w:shd w:val="clear" w:color="auto" w:fill="FFFFFF"/>
        <w:adjustRightInd w:val="0"/>
        <w:snapToGrid w:val="0"/>
        <w:jc w:val="center"/>
        <w:rPr>
          <w:rFonts w:ascii="方正小标宋简体" w:eastAsia="方正小标宋简体" w:hAnsi="PingFangSC-Regular" w:cs="宋体" w:hint="eastAsia"/>
          <w:color w:val="444444"/>
          <w:kern w:val="0"/>
          <w:sz w:val="44"/>
          <w:szCs w:val="44"/>
        </w:rPr>
      </w:pPr>
      <w:r w:rsidRPr="00DB2512">
        <w:rPr>
          <w:rFonts w:ascii="方正小标宋简体" w:eastAsia="方正小标宋简体" w:hAnsi="PingFangSC-Regular" w:cs="宋体" w:hint="eastAsia"/>
          <w:color w:val="444444"/>
          <w:kern w:val="0"/>
          <w:sz w:val="44"/>
          <w:szCs w:val="44"/>
        </w:rPr>
        <w:t>行政执法全过程记录实施办法</w:t>
      </w:r>
    </w:p>
    <w:p w14:paraId="671EABF8" w14:textId="77777777" w:rsidR="00DB2512" w:rsidRPr="00DB2512" w:rsidRDefault="00DB2512" w:rsidP="000813A6">
      <w:pPr>
        <w:shd w:val="clear" w:color="auto" w:fill="FFFFFF"/>
        <w:adjustRightInd w:val="0"/>
        <w:snapToGrid w:val="0"/>
        <w:jc w:val="center"/>
        <w:rPr>
          <w:rFonts w:ascii="PingFangSC-Regular" w:eastAsia="宋体" w:hAnsi="PingFangSC-Regular" w:cs="宋体" w:hint="eastAsia"/>
          <w:color w:val="444444"/>
          <w:kern w:val="0"/>
          <w:sz w:val="27"/>
          <w:szCs w:val="27"/>
        </w:rPr>
      </w:pPr>
      <w:r w:rsidRPr="00DB2512">
        <w:rPr>
          <w:rFonts w:ascii="Calibri" w:eastAsia="黑体" w:hAnsi="Calibri" w:cs="Calibri"/>
          <w:color w:val="444444"/>
          <w:kern w:val="0"/>
          <w:sz w:val="32"/>
          <w:szCs w:val="32"/>
        </w:rPr>
        <w:t> </w:t>
      </w:r>
    </w:p>
    <w:p w14:paraId="1EB84853" w14:textId="77777777" w:rsidR="00DB2512" w:rsidRPr="00DB2512" w:rsidRDefault="00DB2512" w:rsidP="000813A6">
      <w:pPr>
        <w:shd w:val="clear" w:color="auto" w:fill="FFFFFF"/>
        <w:adjustRightInd w:val="0"/>
        <w:snapToGrid w:val="0"/>
        <w:jc w:val="center"/>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第一章</w:t>
      </w:r>
      <w:r w:rsidRPr="00DB2512">
        <w:rPr>
          <w:rFonts w:ascii="Calibri" w:eastAsia="黑体" w:hAnsi="Calibri" w:cs="Calibri"/>
          <w:color w:val="444444"/>
          <w:kern w:val="0"/>
          <w:sz w:val="32"/>
          <w:szCs w:val="32"/>
        </w:rPr>
        <w:t> </w:t>
      </w:r>
      <w:r w:rsidRPr="00DB2512">
        <w:rPr>
          <w:rFonts w:ascii="黑体" w:eastAsia="黑体" w:hAnsi="黑体" w:cs="宋体" w:hint="eastAsia"/>
          <w:color w:val="444444"/>
          <w:kern w:val="0"/>
          <w:sz w:val="32"/>
          <w:szCs w:val="32"/>
        </w:rPr>
        <w:t>总</w:t>
      </w:r>
      <w:r w:rsidRPr="00DB2512">
        <w:rPr>
          <w:rFonts w:ascii="Calibri" w:eastAsia="黑体" w:hAnsi="Calibri" w:cs="Calibri"/>
          <w:color w:val="444444"/>
          <w:kern w:val="0"/>
          <w:sz w:val="32"/>
          <w:szCs w:val="32"/>
        </w:rPr>
        <w:t>  </w:t>
      </w:r>
      <w:r w:rsidRPr="00DB2512">
        <w:rPr>
          <w:rFonts w:ascii="黑体" w:eastAsia="黑体" w:hAnsi="黑体" w:cs="宋体" w:hint="eastAsia"/>
          <w:color w:val="444444"/>
          <w:kern w:val="0"/>
          <w:sz w:val="32"/>
          <w:szCs w:val="32"/>
        </w:rPr>
        <w:t>则</w:t>
      </w:r>
    </w:p>
    <w:p w14:paraId="14C3D4F8" w14:textId="549DF03D" w:rsidR="00DB2512" w:rsidRPr="00DB2512" w:rsidRDefault="00DB2512" w:rsidP="000813A6">
      <w:pPr>
        <w:shd w:val="clear" w:color="auto" w:fill="FFFFFF"/>
        <w:adjustRightInd w:val="0"/>
        <w:snapToGrid w:val="0"/>
        <w:rPr>
          <w:rFonts w:ascii="PingFangSC-Regular" w:eastAsia="宋体" w:hAnsi="PingFangSC-Regular" w:cs="宋体" w:hint="eastAsia"/>
          <w:color w:val="444444"/>
          <w:kern w:val="0"/>
          <w:sz w:val="27"/>
          <w:szCs w:val="27"/>
        </w:rPr>
      </w:pPr>
      <w:r w:rsidRPr="00DB2512">
        <w:rPr>
          <w:rFonts w:ascii="Calibri" w:eastAsia="黑体" w:hAnsi="Calibri" w:cs="Calibri"/>
          <w:color w:val="444444"/>
          <w:kern w:val="0"/>
          <w:sz w:val="32"/>
          <w:szCs w:val="32"/>
        </w:rPr>
        <w:t> </w:t>
      </w:r>
      <w:r w:rsidR="000813A6">
        <w:rPr>
          <w:rFonts w:ascii="Calibri" w:eastAsia="黑体" w:hAnsi="Calibri" w:cs="Calibri"/>
          <w:color w:val="444444"/>
          <w:kern w:val="0"/>
          <w:sz w:val="32"/>
          <w:szCs w:val="32"/>
        </w:rPr>
        <w:t xml:space="preserve">    </w:t>
      </w:r>
      <w:r w:rsidRPr="00DB2512">
        <w:rPr>
          <w:rFonts w:ascii="黑体" w:eastAsia="黑体" w:hAnsi="黑体" w:cs="宋体" w:hint="eastAsia"/>
          <w:color w:val="444444"/>
          <w:kern w:val="0"/>
          <w:sz w:val="32"/>
          <w:szCs w:val="32"/>
        </w:rPr>
        <w:t>第一条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为推进</w:t>
      </w:r>
      <w:r w:rsidR="000813A6">
        <w:rPr>
          <w:rFonts w:ascii="仿宋_GB2312" w:eastAsia="仿宋_GB2312" w:hAnsi="PingFangSC-Regular" w:cs="宋体" w:hint="eastAsia"/>
          <w:color w:val="444444"/>
          <w:kern w:val="0"/>
          <w:sz w:val="32"/>
          <w:szCs w:val="32"/>
        </w:rPr>
        <w:t>社会管理局</w:t>
      </w:r>
      <w:r w:rsidRPr="00DB2512">
        <w:rPr>
          <w:rFonts w:ascii="仿宋_GB2312" w:eastAsia="仿宋_GB2312" w:hAnsi="PingFangSC-Regular" w:cs="宋体" w:hint="eastAsia"/>
          <w:color w:val="444444"/>
          <w:kern w:val="0"/>
          <w:sz w:val="32"/>
          <w:szCs w:val="32"/>
        </w:rPr>
        <w:t>行政执法全过程记录制度建设，规范行政执法程序，促进严格、规范、公正、文明执法，保障公民、法人和非法人组织的合法权益，根据有关法律、法规、规章和《大连市人民政府办公室关于印发大连市全面推行行政执法公示制度、执法全过程记录制度、重大执法决定法制审核制度实施方案的通知》规定，结合</w:t>
      </w:r>
      <w:r w:rsidR="000813A6">
        <w:rPr>
          <w:rFonts w:ascii="仿宋_GB2312" w:eastAsia="仿宋_GB2312" w:hAnsi="PingFangSC-Regular" w:cs="宋体" w:hint="eastAsia"/>
          <w:color w:val="444444"/>
          <w:kern w:val="0"/>
          <w:sz w:val="32"/>
          <w:szCs w:val="32"/>
        </w:rPr>
        <w:t>全局</w:t>
      </w:r>
      <w:r w:rsidRPr="00DB2512">
        <w:rPr>
          <w:rFonts w:ascii="仿宋_GB2312" w:eastAsia="仿宋_GB2312" w:hAnsi="PingFangSC-Regular" w:cs="宋体" w:hint="eastAsia"/>
          <w:color w:val="444444"/>
          <w:kern w:val="0"/>
          <w:sz w:val="32"/>
          <w:szCs w:val="32"/>
        </w:rPr>
        <w:t>工作实际，制定本办法。</w:t>
      </w:r>
    </w:p>
    <w:p w14:paraId="37CDF773" w14:textId="5F9B5EF7" w:rsidR="00DB2512" w:rsidRPr="00DB2512" w:rsidRDefault="00DB2512" w:rsidP="000813A6">
      <w:pPr>
        <w:shd w:val="clear" w:color="auto" w:fill="FFFFFF"/>
        <w:adjustRightInd w:val="0"/>
        <w:snapToGrid w:val="0"/>
        <w:ind w:firstLineChars="200"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第二条</w:t>
      </w:r>
      <w:r w:rsidR="00FB51C5">
        <w:rPr>
          <w:rFonts w:ascii="Calibri" w:eastAsia="黑体" w:hAnsi="Calibri" w:cs="Calibri"/>
          <w:color w:val="444444"/>
          <w:kern w:val="0"/>
          <w:sz w:val="32"/>
          <w:szCs w:val="32"/>
        </w:rPr>
        <w:t xml:space="preserve"> </w:t>
      </w:r>
      <w:r w:rsidRPr="00DB2512">
        <w:rPr>
          <w:rFonts w:ascii="仿宋_GB2312" w:eastAsia="仿宋_GB2312" w:hAnsi="PingFangSC-Regular" w:cs="宋体" w:hint="eastAsia"/>
          <w:color w:val="444444"/>
          <w:kern w:val="0"/>
          <w:sz w:val="32"/>
          <w:szCs w:val="32"/>
        </w:rPr>
        <w:t>本办法适用于</w:t>
      </w:r>
      <w:r w:rsidR="000813A6">
        <w:rPr>
          <w:rFonts w:ascii="仿宋_GB2312" w:eastAsia="仿宋_GB2312" w:hAnsi="PingFangSC-Regular" w:cs="宋体" w:hint="eastAsia"/>
          <w:color w:val="444444"/>
          <w:kern w:val="0"/>
          <w:sz w:val="32"/>
          <w:szCs w:val="32"/>
        </w:rPr>
        <w:t>社会管理局</w:t>
      </w:r>
      <w:r w:rsidRPr="00DB2512">
        <w:rPr>
          <w:rFonts w:ascii="仿宋_GB2312" w:eastAsia="仿宋_GB2312" w:hAnsi="PingFangSC-Regular" w:cs="宋体" w:hint="eastAsia"/>
          <w:color w:val="444444"/>
          <w:kern w:val="0"/>
          <w:sz w:val="32"/>
          <w:szCs w:val="32"/>
        </w:rPr>
        <w:t>及其依法委托从事行政执法活动的</w:t>
      </w:r>
      <w:r w:rsidR="000813A6">
        <w:rPr>
          <w:rFonts w:ascii="仿宋_GB2312" w:eastAsia="仿宋_GB2312" w:hAnsi="PingFangSC-Regular" w:cs="宋体" w:hint="eastAsia"/>
          <w:color w:val="444444"/>
          <w:kern w:val="0"/>
          <w:sz w:val="32"/>
          <w:szCs w:val="32"/>
        </w:rPr>
        <w:t>部门</w:t>
      </w:r>
      <w:r w:rsidR="006F40F7">
        <w:rPr>
          <w:rFonts w:ascii="仿宋_GB2312" w:eastAsia="仿宋_GB2312" w:hAnsi="PingFangSC-Regular" w:cs="宋体" w:hint="eastAsia"/>
          <w:color w:val="444444"/>
          <w:kern w:val="0"/>
          <w:sz w:val="32"/>
          <w:szCs w:val="32"/>
        </w:rPr>
        <w:t>和</w:t>
      </w:r>
      <w:bookmarkStart w:id="0" w:name="_GoBack"/>
      <w:bookmarkEnd w:id="0"/>
      <w:r w:rsidRPr="00DB2512">
        <w:rPr>
          <w:rFonts w:ascii="仿宋_GB2312" w:eastAsia="仿宋_GB2312" w:hAnsi="PingFangSC-Regular" w:cs="宋体" w:hint="eastAsia"/>
          <w:color w:val="444444"/>
          <w:kern w:val="0"/>
          <w:sz w:val="32"/>
          <w:szCs w:val="32"/>
        </w:rPr>
        <w:t>组织对行政执法过程进行记录的活动。</w:t>
      </w:r>
    </w:p>
    <w:p w14:paraId="739AC9F2" w14:textId="434A1CD6"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第三条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本办法所称行政执法，是指具有行政执法权的行政机关、法律法规授权的组织或依法受委托的组织在对公民、法人和非法人组织实施行政管理活动中执行法律、法规和规章的行为。</w:t>
      </w:r>
    </w:p>
    <w:p w14:paraId="14423A95" w14:textId="78B197B6"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本办法所称全过程记录，是指</w:t>
      </w:r>
      <w:r w:rsidR="000813A6">
        <w:rPr>
          <w:rFonts w:ascii="仿宋_GB2312" w:eastAsia="仿宋_GB2312" w:hAnsi="PingFangSC-Regular" w:cs="宋体" w:hint="eastAsia"/>
          <w:color w:val="444444"/>
          <w:kern w:val="0"/>
          <w:sz w:val="32"/>
          <w:szCs w:val="32"/>
        </w:rPr>
        <w:t>社会管理局</w:t>
      </w:r>
      <w:r w:rsidRPr="00DB2512">
        <w:rPr>
          <w:rFonts w:ascii="仿宋_GB2312" w:eastAsia="仿宋_GB2312" w:hAnsi="PingFangSC-Regular" w:cs="宋体" w:hint="eastAsia"/>
          <w:color w:val="444444"/>
          <w:kern w:val="0"/>
          <w:sz w:val="32"/>
          <w:szCs w:val="32"/>
        </w:rPr>
        <w:t>及其执法工作人员通过文字、音像等记录方式，对执法程序启动、调查取证、审查决定、送达执行、归档管理等从行政执法程序启动直至执法程序完结经历的过程。</w:t>
      </w:r>
    </w:p>
    <w:p w14:paraId="4BCE2EBC"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文字记录方式包括向当事人出具的行政执法决定文书、调查取证相关文书、鉴定意见、专家论证报告、听证报告、内部程序审批表、送达回证等书面记录。</w:t>
      </w:r>
    </w:p>
    <w:p w14:paraId="3FE3BC83"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lastRenderedPageBreak/>
        <w:t>音像记录方式包括采用拍照、录音、录像、视频监控等方式进行的记录。</w:t>
      </w:r>
    </w:p>
    <w:p w14:paraId="1EC3BBBE"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文字与音像记录方式可同时使用，也可分别使用。本办法另有规定的按规定执行。</w:t>
      </w:r>
    </w:p>
    <w:p w14:paraId="56062CCE" w14:textId="6CD10513"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第四条</w:t>
      </w:r>
      <w:r w:rsidR="00FB51C5">
        <w:rPr>
          <w:rFonts w:ascii="仿宋_GB2312" w:eastAsia="仿宋_GB2312" w:hAnsi="PingFangSC-Regular" w:cs="宋体"/>
          <w:b/>
          <w:bCs/>
          <w:color w:val="444444"/>
          <w:kern w:val="0"/>
          <w:sz w:val="32"/>
          <w:szCs w:val="32"/>
        </w:rPr>
        <w:t xml:space="preserve"> </w:t>
      </w:r>
      <w:r w:rsidRPr="00DB2512">
        <w:rPr>
          <w:rFonts w:ascii="仿宋_GB2312" w:eastAsia="仿宋_GB2312" w:hAnsi="PingFangSC-Regular" w:cs="宋体" w:hint="eastAsia"/>
          <w:color w:val="444444"/>
          <w:kern w:val="0"/>
          <w:sz w:val="32"/>
          <w:szCs w:val="32"/>
        </w:rPr>
        <w:t>行政许可、行政确认、行政给付、行政奖励、行政裁决的全过程自接收相关办理材料开始，包括接收、受理、审查决定、送达等一般程序环节和补正、勘验、中止、延期、听证等特别程序环节。</w:t>
      </w:r>
    </w:p>
    <w:p w14:paraId="45F1D14C"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行政检查的全过程自检查活动开始，包括现场核查、送达、复查等一般程序环节和询问、勘验、抽样、鉴定、责令改正等特别程序环节。</w:t>
      </w:r>
    </w:p>
    <w:p w14:paraId="68F7311D"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行政征收征用的全过程自论证和征求意见开始，包括论证、征求意见、审查决定、送达、实施、补偿、终结等一般程序环节和中止、延期等特别程序环节。</w:t>
      </w:r>
    </w:p>
    <w:p w14:paraId="6E2423F0"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行政处罚的全过程自获取违法线索开始，包括受案、立案、调查取证、审查决定、送达、终结等一般程序环节和抽样调查、先行登记保存、听证、中止、延期等特别程序环节。</w:t>
      </w:r>
    </w:p>
    <w:p w14:paraId="7B83986F"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行政强制的全过程自呈报审批开始，包括审查决定、催告、送达、实施、终结等一般程序环节和中止、延期等特别程序环节。</w:t>
      </w:r>
    </w:p>
    <w:p w14:paraId="027BCA0C" w14:textId="616CF752"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第五条</w:t>
      </w:r>
      <w:r w:rsidR="00FB51C5">
        <w:rPr>
          <w:rFonts w:ascii="Calibri" w:eastAsia="黑体" w:hAnsi="Calibri" w:cs="Calibri"/>
          <w:color w:val="444444"/>
          <w:kern w:val="0"/>
          <w:sz w:val="32"/>
          <w:szCs w:val="32"/>
        </w:rPr>
        <w:t xml:space="preserve"> </w:t>
      </w:r>
      <w:r w:rsidRPr="00DB2512">
        <w:rPr>
          <w:rFonts w:ascii="仿宋_GB2312" w:eastAsia="仿宋_GB2312" w:hAnsi="PingFangSC-Regular" w:cs="宋体" w:hint="eastAsia"/>
          <w:color w:val="444444"/>
          <w:kern w:val="0"/>
          <w:sz w:val="32"/>
          <w:szCs w:val="32"/>
        </w:rPr>
        <w:t>行政执法全过程记录应坚持合法、客观、公正的原则。对行政执法活动实现全过程留痕和可追溯管理。</w:t>
      </w:r>
    </w:p>
    <w:p w14:paraId="6202DB3D" w14:textId="50A153E8"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第六条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行政执法全过程记录应当采取文字记录、音像记录等方式。</w:t>
      </w:r>
    </w:p>
    <w:p w14:paraId="22A1ABCD"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lastRenderedPageBreak/>
        <w:t>文字记录可以采用纸质文书或者电子文书进行记录。音像记录可以采用执法记录仪、摄像机、音视频监控等设备进行记录。</w:t>
      </w:r>
    </w:p>
    <w:p w14:paraId="2F488C86" w14:textId="2F155769"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第七条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应加强行政执法信息化建设，在行政执法信息系统中全过程进行文字、音像记录，提高执法效率和规范化水平。</w:t>
      </w:r>
    </w:p>
    <w:p w14:paraId="0D43BB3D" w14:textId="77777777" w:rsidR="00DB2512" w:rsidRPr="00DB2512" w:rsidRDefault="00DB2512" w:rsidP="000813A6">
      <w:pPr>
        <w:shd w:val="clear" w:color="auto" w:fill="FFFFFF"/>
        <w:adjustRightInd w:val="0"/>
        <w:snapToGrid w:val="0"/>
        <w:jc w:val="center"/>
        <w:rPr>
          <w:rFonts w:ascii="PingFangSC-Regular" w:eastAsia="宋体" w:hAnsi="PingFangSC-Regular" w:cs="宋体" w:hint="eastAsia"/>
          <w:color w:val="444444"/>
          <w:kern w:val="0"/>
          <w:sz w:val="27"/>
          <w:szCs w:val="27"/>
        </w:rPr>
      </w:pPr>
      <w:r w:rsidRPr="00DB2512">
        <w:rPr>
          <w:rFonts w:ascii="Calibri" w:eastAsia="黑体" w:hAnsi="Calibri" w:cs="Calibri"/>
          <w:color w:val="444444"/>
          <w:kern w:val="0"/>
          <w:sz w:val="32"/>
          <w:szCs w:val="32"/>
        </w:rPr>
        <w:t> </w:t>
      </w:r>
    </w:p>
    <w:p w14:paraId="1EB15E9B" w14:textId="361ED812" w:rsidR="00DB2512" w:rsidRPr="00DB2512" w:rsidRDefault="00DB2512" w:rsidP="000813A6">
      <w:pPr>
        <w:shd w:val="clear" w:color="auto" w:fill="FFFFFF"/>
        <w:adjustRightInd w:val="0"/>
        <w:snapToGrid w:val="0"/>
        <w:jc w:val="center"/>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第二章</w:t>
      </w:r>
      <w:r w:rsidRPr="00DB2512">
        <w:rPr>
          <w:rFonts w:ascii="Calibri" w:eastAsia="黑体" w:hAnsi="Calibri" w:cs="Calibri"/>
          <w:color w:val="444444"/>
          <w:kern w:val="0"/>
          <w:sz w:val="32"/>
          <w:szCs w:val="32"/>
        </w:rPr>
        <w:t> </w:t>
      </w:r>
      <w:r w:rsidRPr="00DB2512">
        <w:rPr>
          <w:rFonts w:ascii="黑体" w:eastAsia="黑体" w:hAnsi="黑体" w:cs="宋体" w:hint="eastAsia"/>
          <w:color w:val="444444"/>
          <w:kern w:val="0"/>
          <w:sz w:val="32"/>
          <w:szCs w:val="32"/>
        </w:rPr>
        <w:t>程序启动的记录</w:t>
      </w:r>
      <w:r w:rsidRPr="00DB2512">
        <w:rPr>
          <w:rFonts w:ascii="Calibri" w:eastAsia="黑体" w:hAnsi="Calibri" w:cs="Calibri"/>
          <w:color w:val="444444"/>
          <w:kern w:val="0"/>
          <w:sz w:val="32"/>
          <w:szCs w:val="32"/>
        </w:rPr>
        <w:t> </w:t>
      </w:r>
    </w:p>
    <w:p w14:paraId="15872EE9" w14:textId="5B24319C"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第八条</w:t>
      </w:r>
      <w:r w:rsidR="00FB51C5">
        <w:rPr>
          <w:rFonts w:ascii="Calibri" w:eastAsia="黑体" w:hAnsi="Calibri" w:cs="Calibri"/>
          <w:color w:val="444444"/>
          <w:kern w:val="0"/>
          <w:sz w:val="32"/>
          <w:szCs w:val="32"/>
        </w:rPr>
        <w:t xml:space="preserve"> </w:t>
      </w:r>
      <w:r w:rsidR="000A6C09">
        <w:rPr>
          <w:rFonts w:ascii="仿宋_GB2312" w:eastAsia="仿宋_GB2312" w:hAnsi="PingFangSC-Regular" w:cs="宋体" w:hint="eastAsia"/>
          <w:color w:val="444444"/>
          <w:kern w:val="0"/>
          <w:sz w:val="32"/>
          <w:szCs w:val="32"/>
        </w:rPr>
        <w:t>执法机构</w:t>
      </w:r>
      <w:r w:rsidRPr="00DB2512">
        <w:rPr>
          <w:rFonts w:ascii="仿宋_GB2312" w:eastAsia="仿宋_GB2312" w:hAnsi="PingFangSC-Regular" w:cs="宋体" w:hint="eastAsia"/>
          <w:color w:val="444444"/>
          <w:kern w:val="0"/>
          <w:sz w:val="32"/>
          <w:szCs w:val="32"/>
        </w:rPr>
        <w:t>对行政许可、行政确认、行政给付等公民、法人和非法人组织依法申请办理的事项，应依照有关法律、法规和规章的规定对申请登记、口头申请、受理或不予受理、当场更正申请材料中的错误、出具书面凭证或回执以及一次性告知申请人需补正的全部内容等填写相关文书予以记录。</w:t>
      </w:r>
    </w:p>
    <w:p w14:paraId="1607371D" w14:textId="1E7D1CEE" w:rsidR="00DB2512" w:rsidRPr="00DB2512" w:rsidRDefault="00DB2512" w:rsidP="00DB668D">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第九条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执法机构依职权启动一般程序行政处罚的，由承办案件的执法人员填写《立案审批表》，报局分管领导审批。情况紧急的，可先启动行政处罚程序，并在行政处罚程序启动后24小时内补办审批程序。《立案审批表》应载明案由、当事人基本情况、承办人意见、承办机构意见和法律依据等内容。</w:t>
      </w:r>
    </w:p>
    <w:p w14:paraId="2DDA1001" w14:textId="79C9B256"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第十条</w:t>
      </w:r>
      <w:r w:rsidR="00FB51C5">
        <w:rPr>
          <w:rFonts w:ascii="Calibri" w:eastAsia="黑体" w:hAnsi="Calibri" w:cs="Calibri"/>
          <w:color w:val="444444"/>
          <w:kern w:val="0"/>
          <w:sz w:val="32"/>
          <w:szCs w:val="32"/>
        </w:rPr>
        <w:t xml:space="preserve"> </w:t>
      </w:r>
      <w:r w:rsidRPr="00DB2512">
        <w:rPr>
          <w:rFonts w:ascii="仿宋_GB2312" w:eastAsia="仿宋_GB2312" w:hAnsi="PingFangSC-Regular" w:cs="宋体" w:hint="eastAsia"/>
          <w:color w:val="444444"/>
          <w:kern w:val="0"/>
          <w:sz w:val="32"/>
          <w:szCs w:val="32"/>
        </w:rPr>
        <w:t>执法机构接到公民、法人或非法人组织对违法行为投诉、举报的，需要查处的，应及时启动执法程序，并进行相应记录；对实名投诉、举报，经审查不启动行政执法</w:t>
      </w:r>
      <w:r w:rsidRPr="00DB2512">
        <w:rPr>
          <w:rFonts w:ascii="仿宋_GB2312" w:eastAsia="仿宋_GB2312" w:hAnsi="PingFangSC-Regular" w:cs="宋体" w:hint="eastAsia"/>
          <w:color w:val="444444"/>
          <w:kern w:val="0"/>
          <w:sz w:val="32"/>
          <w:szCs w:val="32"/>
        </w:rPr>
        <w:lastRenderedPageBreak/>
        <w:t>程序的，应依据相关法律、法规和规章的规定告知投诉人、举报人，并将相关情况作书面记录。</w:t>
      </w:r>
    </w:p>
    <w:p w14:paraId="21A4C03F" w14:textId="77777777" w:rsidR="00DB2512" w:rsidRPr="00DB2512" w:rsidRDefault="00DB2512" w:rsidP="000813A6">
      <w:pPr>
        <w:shd w:val="clear" w:color="auto" w:fill="FFFFFF"/>
        <w:adjustRightInd w:val="0"/>
        <w:snapToGrid w:val="0"/>
        <w:jc w:val="center"/>
        <w:rPr>
          <w:rFonts w:ascii="PingFangSC-Regular" w:eastAsia="宋体" w:hAnsi="PingFangSC-Regular" w:cs="宋体" w:hint="eastAsia"/>
          <w:color w:val="444444"/>
          <w:kern w:val="0"/>
          <w:sz w:val="27"/>
          <w:szCs w:val="27"/>
        </w:rPr>
      </w:pPr>
      <w:r w:rsidRPr="00DB2512">
        <w:rPr>
          <w:rFonts w:ascii="Calibri" w:eastAsia="黑体" w:hAnsi="Calibri" w:cs="Calibri"/>
          <w:color w:val="444444"/>
          <w:kern w:val="0"/>
          <w:sz w:val="32"/>
          <w:szCs w:val="32"/>
        </w:rPr>
        <w:t> </w:t>
      </w:r>
    </w:p>
    <w:p w14:paraId="08284EFF" w14:textId="4B0D11D4" w:rsidR="00DB2512" w:rsidRPr="00DB2512" w:rsidRDefault="00DB2512" w:rsidP="000A6C09">
      <w:pPr>
        <w:shd w:val="clear" w:color="auto" w:fill="FFFFFF"/>
        <w:adjustRightInd w:val="0"/>
        <w:snapToGrid w:val="0"/>
        <w:jc w:val="center"/>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第三章</w:t>
      </w:r>
      <w:r w:rsidRPr="00DB2512">
        <w:rPr>
          <w:rFonts w:ascii="Calibri" w:eastAsia="黑体" w:hAnsi="Calibri" w:cs="Calibri"/>
          <w:color w:val="444444"/>
          <w:kern w:val="0"/>
          <w:sz w:val="32"/>
          <w:szCs w:val="32"/>
        </w:rPr>
        <w:t> </w:t>
      </w:r>
      <w:r w:rsidRPr="00DB2512">
        <w:rPr>
          <w:rFonts w:ascii="黑体" w:eastAsia="黑体" w:hAnsi="黑体" w:cs="宋体" w:hint="eastAsia"/>
          <w:color w:val="444444"/>
          <w:kern w:val="0"/>
          <w:sz w:val="32"/>
          <w:szCs w:val="32"/>
        </w:rPr>
        <w:t>调查与取证的记录</w:t>
      </w:r>
    </w:p>
    <w:p w14:paraId="0D6B316E" w14:textId="520CD5D7" w:rsidR="00DB2512" w:rsidRPr="00DB2512" w:rsidRDefault="00DB2512" w:rsidP="000813A6">
      <w:pPr>
        <w:shd w:val="clear" w:color="auto" w:fill="FFFFFF"/>
        <w:adjustRightInd w:val="0"/>
        <w:snapToGrid w:val="0"/>
        <w:rPr>
          <w:rFonts w:ascii="PingFangSC-Regular" w:eastAsia="宋体" w:hAnsi="PingFangSC-Regular" w:cs="宋体" w:hint="eastAsia"/>
          <w:color w:val="444444"/>
          <w:kern w:val="0"/>
          <w:sz w:val="27"/>
          <w:szCs w:val="27"/>
        </w:rPr>
      </w:pPr>
      <w:r w:rsidRPr="00DB2512">
        <w:rPr>
          <w:rFonts w:ascii="Calibri" w:eastAsia="黑体" w:hAnsi="Calibri" w:cs="Calibri"/>
          <w:color w:val="444444"/>
          <w:kern w:val="0"/>
          <w:sz w:val="32"/>
          <w:szCs w:val="32"/>
        </w:rPr>
        <w:t>    </w:t>
      </w:r>
      <w:r w:rsidRPr="00DB2512">
        <w:rPr>
          <w:rFonts w:ascii="黑体" w:eastAsia="黑体" w:hAnsi="黑体" w:cs="宋体" w:hint="eastAsia"/>
          <w:color w:val="444444"/>
          <w:kern w:val="0"/>
          <w:sz w:val="32"/>
          <w:szCs w:val="32"/>
        </w:rPr>
        <w:t>第十一条</w:t>
      </w:r>
      <w:r w:rsidR="00FB51C5">
        <w:rPr>
          <w:rFonts w:ascii="Calibri" w:eastAsia="黑体" w:hAnsi="Calibri" w:cs="Calibri"/>
          <w:color w:val="444444"/>
          <w:kern w:val="0"/>
          <w:sz w:val="32"/>
          <w:szCs w:val="32"/>
        </w:rPr>
        <w:t xml:space="preserve"> </w:t>
      </w:r>
      <w:r w:rsidRPr="00DB2512">
        <w:rPr>
          <w:rFonts w:ascii="仿宋_GB2312" w:eastAsia="仿宋_GB2312" w:hAnsi="PingFangSC-Regular" w:cs="宋体" w:hint="eastAsia"/>
          <w:color w:val="444444"/>
          <w:kern w:val="0"/>
          <w:sz w:val="32"/>
          <w:szCs w:val="32"/>
        </w:rPr>
        <w:t>执法机构进行调查取证，执法人员不得少于两人。执法人员应在相关调查笔录中对执法人员数量、姓名、执法证件编号及出示情况进行文字记录，并由当事人或有关在场人员签字或盖章，对于不肯签字或盖章的，由记录人员将有关情况记录在案。</w:t>
      </w:r>
    </w:p>
    <w:p w14:paraId="6454038E" w14:textId="77D7B75C"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第十二条</w:t>
      </w:r>
      <w:r w:rsidR="00FB51C5">
        <w:rPr>
          <w:rFonts w:ascii="Calibri" w:eastAsia="黑体" w:hAnsi="Calibri" w:cs="Calibri"/>
          <w:color w:val="444444"/>
          <w:kern w:val="0"/>
          <w:sz w:val="32"/>
          <w:szCs w:val="32"/>
        </w:rPr>
        <w:t xml:space="preserve"> </w:t>
      </w:r>
      <w:r w:rsidRPr="00DB2512">
        <w:rPr>
          <w:rFonts w:ascii="仿宋_GB2312" w:eastAsia="仿宋_GB2312" w:hAnsi="PingFangSC-Regular" w:cs="宋体" w:hint="eastAsia"/>
          <w:color w:val="444444"/>
          <w:kern w:val="0"/>
          <w:sz w:val="32"/>
          <w:szCs w:val="32"/>
        </w:rPr>
        <w:t>执法人员在执法过程中对告知行政相对人陈述、申辩、申请回避、听证等权利的方式应进行文字或音像记录。</w:t>
      </w:r>
    </w:p>
    <w:p w14:paraId="06193A14" w14:textId="716A934C"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第十三条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调查、取证可采取以下方式进行文字记录：</w:t>
      </w:r>
    </w:p>
    <w:p w14:paraId="10D5BC6D"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（一）询问、调查当事人或证人，应制作询问、调查笔录等文书；</w:t>
      </w:r>
    </w:p>
    <w:p w14:paraId="72AA6D0C"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（二）向有关单位和个人调取书证、物证的，应制作调取证据通知书、证据登记保存清单等文书；</w:t>
      </w:r>
    </w:p>
    <w:p w14:paraId="0F266231"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（三）现场检查、勘验等，应制作现场检查、勘验笔录等文书；</w:t>
      </w:r>
    </w:p>
    <w:p w14:paraId="4E91BCF4"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（四）抽样的，应制作抽查取证通知书及物品清单等文书；</w:t>
      </w:r>
    </w:p>
    <w:p w14:paraId="480ABD99"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（五）听取当事人陈述和申辩的，应制作权利告知书、陈述申辩笔录等文书；</w:t>
      </w:r>
    </w:p>
    <w:p w14:paraId="5F187211"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lastRenderedPageBreak/>
        <w:t>（六）举行听证的，应依照听证相关规定制作听证全过程记录文书；</w:t>
      </w:r>
    </w:p>
    <w:p w14:paraId="47DCEE10"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（七）指定或委托检验（检测、检疫、鉴定、评审）的，应当制作检验（检测、检疫、鉴定、评审）委托书，接受委托的检验机构应当出具意见书；</w:t>
      </w:r>
    </w:p>
    <w:p w14:paraId="01A5A745"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（八）法律、法规和规章规定的其他调查方式，依法制作其他文书。</w:t>
      </w:r>
    </w:p>
    <w:p w14:paraId="4B0EB22C" w14:textId="0192BD9E"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第十四条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执法人员在执法过程中，应依法告知当事人、利害关系人作出行政执法决定的事实、理由和依据，并告知当事人享有的权利、承担的义务、救济途径（如陈述、申辩、申请回避、听证等），并制作告知书或现场笔录。</w:t>
      </w:r>
    </w:p>
    <w:p w14:paraId="0DD60CFE" w14:textId="3DAC7A08"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当事人、利害关系人进行口头陈述、申辩的，应制作陈述、申辩笔录；当事人、利害关系人口头放弃陈述、申辩的，应记录在案。对当事人、利害关系人提交的陈述、申辩和放弃陈述、申辩的书面材料，执法机构应当予以保存。</w:t>
      </w:r>
    </w:p>
    <w:p w14:paraId="67BD2465" w14:textId="5A76D8BD"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第十五条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执法机构制作现场询问、调查、检查、勘验、听证、告知等笔录以及物品、财产清单等直接涉及当事人权利、义务的文书，均应由行政执法人员、当事人及有关人员签字或盖章确认。</w:t>
      </w:r>
    </w:p>
    <w:p w14:paraId="5E2A1267"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当事人或有关人员拒绝签字或盖章确认的，行政执法人员应当现场记录具体情况，并同步进行音像记录。</w:t>
      </w:r>
    </w:p>
    <w:p w14:paraId="0F10DFD9" w14:textId="7AD0F664"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第十六条</w:t>
      </w:r>
      <w:r w:rsidR="00FB51C5">
        <w:rPr>
          <w:rFonts w:ascii="Calibri" w:eastAsia="黑体" w:hAnsi="Calibri" w:cs="Calibri"/>
          <w:color w:val="444444"/>
          <w:kern w:val="0"/>
          <w:sz w:val="32"/>
          <w:szCs w:val="32"/>
        </w:rPr>
        <w:t xml:space="preserve"> </w:t>
      </w:r>
      <w:r w:rsidRPr="00DB2512">
        <w:rPr>
          <w:rFonts w:ascii="仿宋_GB2312" w:eastAsia="仿宋_GB2312" w:hAnsi="PingFangSC-Regular" w:cs="宋体" w:hint="eastAsia"/>
          <w:color w:val="444444"/>
          <w:kern w:val="0"/>
          <w:sz w:val="32"/>
          <w:szCs w:val="32"/>
        </w:rPr>
        <w:t>除涉及国家秘密等不适宜音像记录的情形外，对下列行政执法行为的实施过程，执法机构应当同步进行录音录像：</w:t>
      </w:r>
    </w:p>
    <w:p w14:paraId="156846ED"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lastRenderedPageBreak/>
        <w:t>（一）开展现场询问、调查、检查、勘验、抽样取证、听证等调查；</w:t>
      </w:r>
    </w:p>
    <w:p w14:paraId="5C75A353"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（二）依法实施查封场所、设施，扣押物品或财产等行政强制措施；</w:t>
      </w:r>
    </w:p>
    <w:p w14:paraId="28078DF5"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（三）当事人或者有关人员不配合行政执法的；</w:t>
      </w:r>
    </w:p>
    <w:p w14:paraId="44DDAB92"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（四）需要进行音像记录的其他行政执法行为。</w:t>
      </w:r>
    </w:p>
    <w:p w14:paraId="070BE964"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法律、法规、规章对行政执法过程进行音像记录另有规定的，从其规定。</w:t>
      </w:r>
    </w:p>
    <w:p w14:paraId="6F0563A3" w14:textId="30B22ECA"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第十七条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在证据可能灭失或以后难以取得的情况下，执法机构采取证据保全措施的，应记录以下事项：</w:t>
      </w:r>
    </w:p>
    <w:p w14:paraId="3CCC5AE7"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（一）启动证据保全的理由；</w:t>
      </w:r>
    </w:p>
    <w:p w14:paraId="06C81EF9"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（二）证据保全的具体标的物；</w:t>
      </w:r>
    </w:p>
    <w:p w14:paraId="4658DBC5"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（三）证据保全的形式，包括先行登记保存证据法定文书、复制、音像记录、鉴定、勘验、制作询问笔录等。</w:t>
      </w:r>
    </w:p>
    <w:p w14:paraId="59F3FFF0" w14:textId="050FBD22"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第十八条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执法机构内设执法办案场所，应安装可覆盖执法办案场所的音像监控系统，并保持音像监控系统24小时不间断运行。</w:t>
      </w:r>
    </w:p>
    <w:p w14:paraId="00AE7F32" w14:textId="591D37CD"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第十九条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对可能危及人身自由、生命健康、财产安全的现场执法行动，应进行全程不间断记录，自到达现场开展执法活动时开始，至执法活动结束时停止；从现场带回当事人的，应记录至将当事人带入执法办案场所时停止。</w:t>
      </w:r>
    </w:p>
    <w:p w14:paraId="41524EF2"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现场执法音像记录应当重点摄录以下内容：</w:t>
      </w:r>
    </w:p>
    <w:p w14:paraId="0DAB7315"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（一）执法环境；</w:t>
      </w:r>
    </w:p>
    <w:p w14:paraId="056AB16B"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（二）当事人、证人等现场人员的体貌特征和言行举止；</w:t>
      </w:r>
    </w:p>
    <w:p w14:paraId="6924FF9B"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lastRenderedPageBreak/>
        <w:t>（三）重要涉案物品及其主要特征，以及其他可以证明违法行为的证据；</w:t>
      </w:r>
    </w:p>
    <w:p w14:paraId="4B6EBDD1"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（四）执法人员现场开具、送达法律文书和对有关人员、财物采取措施的情况；</w:t>
      </w:r>
    </w:p>
    <w:p w14:paraId="7274D2F7"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（五）其他应当记录的重要内容。</w:t>
      </w:r>
    </w:p>
    <w:p w14:paraId="06CE37FC"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现场执法音像记录过程中，因设备出现故障或损坏、天气情况恶劣等客观原因而中止记录的，重新开始记录时应当对中断原因进行说明。确实无法继续记录的，应当立即向所属部门负责人报告，并在事后书面说明情况。</w:t>
      </w:r>
    </w:p>
    <w:p w14:paraId="3046618A" w14:textId="77777777" w:rsidR="00DB2512" w:rsidRPr="00DB2512" w:rsidRDefault="00DB2512" w:rsidP="000813A6">
      <w:pPr>
        <w:shd w:val="clear" w:color="auto" w:fill="FFFFFF"/>
        <w:adjustRightInd w:val="0"/>
        <w:snapToGrid w:val="0"/>
        <w:jc w:val="center"/>
        <w:rPr>
          <w:rFonts w:ascii="PingFangSC-Regular" w:eastAsia="宋体" w:hAnsi="PingFangSC-Regular" w:cs="宋体" w:hint="eastAsia"/>
          <w:color w:val="444444"/>
          <w:kern w:val="0"/>
          <w:sz w:val="27"/>
          <w:szCs w:val="27"/>
        </w:rPr>
      </w:pPr>
      <w:r w:rsidRPr="00DB2512">
        <w:rPr>
          <w:rFonts w:ascii="Calibri" w:eastAsia="黑体" w:hAnsi="Calibri" w:cs="Calibri"/>
          <w:color w:val="444444"/>
          <w:kern w:val="0"/>
          <w:sz w:val="32"/>
          <w:szCs w:val="32"/>
        </w:rPr>
        <w:t> </w:t>
      </w:r>
    </w:p>
    <w:p w14:paraId="2B4981A4" w14:textId="2FE4CCD3" w:rsidR="00DB2512" w:rsidRPr="00DB2512" w:rsidRDefault="00DB2512" w:rsidP="000A6C09">
      <w:pPr>
        <w:shd w:val="clear" w:color="auto" w:fill="FFFFFF"/>
        <w:adjustRightInd w:val="0"/>
        <w:snapToGrid w:val="0"/>
        <w:jc w:val="center"/>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第四章 审查与决定的记录</w:t>
      </w:r>
    </w:p>
    <w:p w14:paraId="3DFF391C" w14:textId="7A99BE15"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第二十条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草拟行政执法决定时的文字记录应载明起草人、起草机构审查人、决定形成的法律依据、证据材料、应考虑的有关因素等。</w:t>
      </w:r>
    </w:p>
    <w:p w14:paraId="033EBA6C" w14:textId="051C704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第二十一条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应当进行重大行政执法决定法制审核的，应在审核材料上载明法制机构审查人员、审查意见和建议；</w:t>
      </w:r>
    </w:p>
    <w:p w14:paraId="18826D25" w14:textId="2622F4DA"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第二十二条</w:t>
      </w:r>
      <w:r w:rsidR="00FB51C5">
        <w:rPr>
          <w:rFonts w:ascii="Calibri" w:eastAsia="黑体" w:hAnsi="Calibri" w:cs="Calibri"/>
          <w:color w:val="444444"/>
          <w:kern w:val="0"/>
          <w:sz w:val="32"/>
          <w:szCs w:val="32"/>
        </w:rPr>
        <w:t xml:space="preserve"> </w:t>
      </w:r>
      <w:r w:rsidRPr="00DB2512">
        <w:rPr>
          <w:rFonts w:ascii="仿宋_GB2312" w:eastAsia="仿宋_GB2312" w:hAnsi="PingFangSC-Regular" w:cs="宋体" w:hint="eastAsia"/>
          <w:color w:val="444444"/>
          <w:kern w:val="0"/>
          <w:sz w:val="32"/>
          <w:szCs w:val="32"/>
        </w:rPr>
        <w:t>组织专家论证的，应制作专家论证会议纪要或专家意见书。</w:t>
      </w:r>
    </w:p>
    <w:p w14:paraId="5EA1E8DA" w14:textId="155C1E4A"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第二十三条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就执法决定进行集体讨论的，应制作集体讨论记录或会议纪要。</w:t>
      </w:r>
    </w:p>
    <w:p w14:paraId="046EDDD2" w14:textId="5B2D1DBB"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第二十四条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负责人审批记录包括负责人签署意见、负责人签名等。</w:t>
      </w:r>
    </w:p>
    <w:p w14:paraId="2C4086F9" w14:textId="5A22FE81"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第二十五条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行政执法决定文书应符合法定格式，充分说明执法处理决定的理由，语言要简明准确。</w:t>
      </w:r>
    </w:p>
    <w:p w14:paraId="4286D573" w14:textId="1390D394"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lastRenderedPageBreak/>
        <w:t>第二十六条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适用简易程序的，应记录以下内容：</w:t>
      </w:r>
    </w:p>
    <w:p w14:paraId="49B77232"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（一）适用简易程序的事实依据、法律依据的具体条件；</w:t>
      </w:r>
    </w:p>
    <w:p w14:paraId="1DA4C4B4"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（二）实施简易程序的程序步骤及法定文书；</w:t>
      </w:r>
    </w:p>
    <w:p w14:paraId="551AED61"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（三）当事人陈述、申辩的记录；</w:t>
      </w:r>
    </w:p>
    <w:p w14:paraId="051180BA"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（四）对当事人陈述、申辩内容的复核及处理，是否采纳的理由；</w:t>
      </w:r>
    </w:p>
    <w:p w14:paraId="0B8414EC"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（五）依法向所属行政机关备案的内容；</w:t>
      </w:r>
    </w:p>
    <w:p w14:paraId="652361CC"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（六）对符合当场收缴罚款情况的实施过程；</w:t>
      </w:r>
    </w:p>
    <w:p w14:paraId="196BB491"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（七）其他依法记录的内容。</w:t>
      </w:r>
    </w:p>
    <w:p w14:paraId="53FACFE7" w14:textId="75DB4524"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对容易引起行政争议的简易程序执法行为政执法机构应采用适当方式进行音像记录。</w:t>
      </w:r>
    </w:p>
    <w:p w14:paraId="5806B7B8" w14:textId="77777777" w:rsidR="00DB2512" w:rsidRPr="00DB2512" w:rsidRDefault="00DB2512" w:rsidP="000813A6">
      <w:pPr>
        <w:shd w:val="clear" w:color="auto" w:fill="FFFFFF"/>
        <w:adjustRightInd w:val="0"/>
        <w:snapToGrid w:val="0"/>
        <w:jc w:val="center"/>
        <w:rPr>
          <w:rFonts w:ascii="PingFangSC-Regular" w:eastAsia="宋体" w:hAnsi="PingFangSC-Regular" w:cs="宋体" w:hint="eastAsia"/>
          <w:color w:val="444444"/>
          <w:kern w:val="0"/>
          <w:sz w:val="27"/>
          <w:szCs w:val="27"/>
        </w:rPr>
      </w:pPr>
      <w:r w:rsidRPr="00DB2512">
        <w:rPr>
          <w:rFonts w:ascii="Calibri" w:eastAsia="黑体" w:hAnsi="Calibri" w:cs="Calibri"/>
          <w:color w:val="444444"/>
          <w:kern w:val="0"/>
          <w:sz w:val="32"/>
          <w:szCs w:val="32"/>
        </w:rPr>
        <w:t> </w:t>
      </w:r>
    </w:p>
    <w:p w14:paraId="14C2EFC7" w14:textId="77777777" w:rsidR="00DB2512" w:rsidRPr="00DB2512" w:rsidRDefault="00DB2512" w:rsidP="000813A6">
      <w:pPr>
        <w:shd w:val="clear" w:color="auto" w:fill="FFFFFF"/>
        <w:adjustRightInd w:val="0"/>
        <w:snapToGrid w:val="0"/>
        <w:jc w:val="center"/>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第五章</w:t>
      </w:r>
      <w:r w:rsidRPr="00DB2512">
        <w:rPr>
          <w:rFonts w:ascii="Calibri" w:eastAsia="黑体" w:hAnsi="Calibri" w:cs="Calibri"/>
          <w:color w:val="444444"/>
          <w:kern w:val="0"/>
          <w:sz w:val="32"/>
          <w:szCs w:val="32"/>
        </w:rPr>
        <w:t> </w:t>
      </w:r>
      <w:r w:rsidRPr="00DB2512">
        <w:rPr>
          <w:rFonts w:ascii="黑体" w:eastAsia="黑体" w:hAnsi="黑体" w:cs="宋体" w:hint="eastAsia"/>
          <w:color w:val="444444"/>
          <w:kern w:val="0"/>
          <w:sz w:val="32"/>
          <w:szCs w:val="32"/>
        </w:rPr>
        <w:t>送达与执行的记录</w:t>
      </w:r>
    </w:p>
    <w:p w14:paraId="15756848" w14:textId="77777777" w:rsidR="00DB2512" w:rsidRPr="00DB2512" w:rsidRDefault="00DB2512" w:rsidP="000813A6">
      <w:pPr>
        <w:shd w:val="clear" w:color="auto" w:fill="FFFFFF"/>
        <w:adjustRightInd w:val="0"/>
        <w:snapToGrid w:val="0"/>
        <w:jc w:val="center"/>
        <w:rPr>
          <w:rFonts w:ascii="PingFangSC-Regular" w:eastAsia="宋体" w:hAnsi="PingFangSC-Regular" w:cs="宋体" w:hint="eastAsia"/>
          <w:color w:val="444444"/>
          <w:kern w:val="0"/>
          <w:sz w:val="27"/>
          <w:szCs w:val="27"/>
        </w:rPr>
      </w:pPr>
      <w:r w:rsidRPr="00DB2512">
        <w:rPr>
          <w:rFonts w:ascii="Calibri" w:eastAsia="黑体" w:hAnsi="Calibri" w:cs="Calibri"/>
          <w:color w:val="444444"/>
          <w:kern w:val="0"/>
          <w:sz w:val="32"/>
          <w:szCs w:val="32"/>
        </w:rPr>
        <w:t> </w:t>
      </w:r>
    </w:p>
    <w:p w14:paraId="542E5478" w14:textId="56F44A9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第二十七条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直接送达行政执法文书，由送达人、受送达人或符合法定条件的签收人在送达回证上签名或盖章，对于拒绝签收的情形，可采用适当方式进行音像记录。</w:t>
      </w:r>
    </w:p>
    <w:p w14:paraId="106B4FEC" w14:textId="7A7BD80A"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第二十八条</w:t>
      </w:r>
      <w:r w:rsidR="00FB51C5">
        <w:rPr>
          <w:rFonts w:ascii="Calibri" w:eastAsia="黑体" w:hAnsi="Calibri" w:cs="Calibri"/>
          <w:color w:val="444444"/>
          <w:kern w:val="0"/>
          <w:sz w:val="32"/>
          <w:szCs w:val="32"/>
        </w:rPr>
        <w:t xml:space="preserve"> </w:t>
      </w:r>
      <w:r w:rsidRPr="00DB2512">
        <w:rPr>
          <w:rFonts w:ascii="仿宋_GB2312" w:eastAsia="仿宋_GB2312" w:hAnsi="PingFangSC-Regular" w:cs="宋体" w:hint="eastAsia"/>
          <w:color w:val="444444"/>
          <w:kern w:val="0"/>
          <w:sz w:val="32"/>
          <w:szCs w:val="32"/>
        </w:rPr>
        <w:t>邮寄送达行政执法文书应用挂号信或邮政特快专递，留存邮寄送达的登记、付邮凭证和回执。</w:t>
      </w:r>
    </w:p>
    <w:p w14:paraId="7FE5B96B" w14:textId="03D86DF6"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第二十九条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留置送达方式应符合法定形式，在送达回证上记明送达地址、拒收事由和日期，由送达人、见证人签名或盖章，把执法文书留在受送达人的住所，并采用音像记录等方式记录送达过程。</w:t>
      </w:r>
    </w:p>
    <w:p w14:paraId="2B072FEA" w14:textId="56C80732"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lastRenderedPageBreak/>
        <w:t>第三十条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依法采用委托、转交等方式送达行政执法文书的，应记录委托、转交原因，由送达人、受送达人在送达回证上签名或盖章。</w:t>
      </w:r>
    </w:p>
    <w:p w14:paraId="4DC5E92B" w14:textId="4D2ADBD9"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第三十一条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公告送达应记录采取其他法定方式无法送达的情况以及公告送达的方式和载体，留存书面公告；登报公告的，保存报纸原件；通过网络平台公告的，应对公告页面进行截屏、打印，记载网络地址；对采取张贴公告的，应以适当方式进行音像记录。公告送达情况应在案卷中记明原因和经过。</w:t>
      </w:r>
    </w:p>
    <w:p w14:paraId="3C8EE333" w14:textId="271B12D8"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第三十二条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执法机构作出行政执法决定后，应对当事人履行行政执法决定的情况进行文字记录。</w:t>
      </w:r>
    </w:p>
    <w:p w14:paraId="50AEE76E"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依法应责令改正的，应按期对改正情况进行核查并进行文字记录，也可根据执法需要进行音像记录。</w:t>
      </w:r>
    </w:p>
    <w:p w14:paraId="60F140E0" w14:textId="50B0BCD2"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第三十三条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当事人逾期不履行行政执法决定，执法机构应在申请法院强制执行前，按照法定形式制作催告书并送达当事人。</w:t>
      </w:r>
    </w:p>
    <w:p w14:paraId="2252AA04"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当事人进行陈述、申辩的，应对当事人的陈述、申辩中提出的事实、理由和证据进行复核，并对陈述、申辩内容复核及处理意见进行记录。</w:t>
      </w:r>
    </w:p>
    <w:p w14:paraId="585130B8" w14:textId="0B842C2F"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第三十四条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执法机构向法院申请强制执行的，应对申请法院强制执行的相关文书、强制执行结果等全过程进行记录。</w:t>
      </w:r>
    </w:p>
    <w:p w14:paraId="3DC6F7CF" w14:textId="77777777" w:rsidR="00DB2512" w:rsidRPr="00DB2512" w:rsidRDefault="00DB2512" w:rsidP="000813A6">
      <w:pPr>
        <w:shd w:val="clear" w:color="auto" w:fill="FFFFFF"/>
        <w:adjustRightInd w:val="0"/>
        <w:snapToGrid w:val="0"/>
        <w:jc w:val="center"/>
        <w:rPr>
          <w:rFonts w:ascii="PingFangSC-Regular" w:eastAsia="宋体" w:hAnsi="PingFangSC-Regular" w:cs="宋体" w:hint="eastAsia"/>
          <w:color w:val="444444"/>
          <w:kern w:val="0"/>
          <w:sz w:val="27"/>
          <w:szCs w:val="27"/>
        </w:rPr>
      </w:pPr>
      <w:r w:rsidRPr="00DB2512">
        <w:rPr>
          <w:rFonts w:ascii="Calibri" w:eastAsia="黑体" w:hAnsi="Calibri" w:cs="Calibri"/>
          <w:color w:val="444444"/>
          <w:kern w:val="0"/>
          <w:sz w:val="32"/>
          <w:szCs w:val="32"/>
        </w:rPr>
        <w:t> </w:t>
      </w:r>
    </w:p>
    <w:p w14:paraId="2907C1B3" w14:textId="2C6B9C79" w:rsidR="00DB2512" w:rsidRPr="00DB2512" w:rsidRDefault="00DB2512" w:rsidP="000A6C09">
      <w:pPr>
        <w:shd w:val="clear" w:color="auto" w:fill="FFFFFF"/>
        <w:adjustRightInd w:val="0"/>
        <w:snapToGrid w:val="0"/>
        <w:jc w:val="center"/>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第六章</w:t>
      </w:r>
      <w:r w:rsidRPr="00DB2512">
        <w:rPr>
          <w:rFonts w:ascii="Calibri" w:eastAsia="黑体" w:hAnsi="Calibri" w:cs="Calibri"/>
          <w:color w:val="444444"/>
          <w:kern w:val="0"/>
          <w:sz w:val="32"/>
          <w:szCs w:val="32"/>
        </w:rPr>
        <w:t> </w:t>
      </w:r>
      <w:r w:rsidRPr="00DB2512">
        <w:rPr>
          <w:rFonts w:ascii="黑体" w:eastAsia="黑体" w:hAnsi="黑体" w:cs="宋体" w:hint="eastAsia"/>
          <w:color w:val="444444"/>
          <w:kern w:val="0"/>
          <w:sz w:val="32"/>
          <w:szCs w:val="32"/>
        </w:rPr>
        <w:t>执法记录的管理与使用</w:t>
      </w:r>
    </w:p>
    <w:p w14:paraId="299EAC6C" w14:textId="74CBBE24"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lastRenderedPageBreak/>
        <w:t>第三十五条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行政执法承办机构及其执法人员在行政执法行为终结之日起30日内（法律、法规、规章有具体要求的，从其规定），应将行政执法过程中形成的文字和音像记录资料按照相关规定进行立卷,原卷按要求归档保管，行政执法承办机构应复制一份自行保存。</w:t>
      </w:r>
    </w:p>
    <w:p w14:paraId="47496E25" w14:textId="080C1041"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音像记录制作完成后，执法人员不得自行保管，应在返回单位后24小时内按要求将信息储存至执法信息系统或单位专用存储器上，并标明案号、当事人姓名、或者名称、承办人姓名等信息，并定期进行异地备份。</w:t>
      </w:r>
    </w:p>
    <w:p w14:paraId="67136325" w14:textId="7A7E2BE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第三十六条</w:t>
      </w:r>
      <w:r w:rsidR="00FB51C5">
        <w:rPr>
          <w:rFonts w:ascii="Calibri" w:eastAsia="黑体" w:hAnsi="Calibri" w:cs="Calibri"/>
          <w:color w:val="444444"/>
          <w:kern w:val="0"/>
          <w:sz w:val="32"/>
          <w:szCs w:val="32"/>
        </w:rPr>
        <w:t xml:space="preserve"> </w:t>
      </w:r>
      <w:r w:rsidRPr="00DB2512">
        <w:rPr>
          <w:rFonts w:ascii="仿宋_GB2312" w:eastAsia="仿宋_GB2312" w:hAnsi="PingFangSC-Regular" w:cs="宋体" w:hint="eastAsia"/>
          <w:color w:val="444444"/>
          <w:kern w:val="0"/>
          <w:sz w:val="32"/>
          <w:szCs w:val="32"/>
        </w:rPr>
        <w:t>执法机构应明确专门人员负责对全过程记录文字和音像资料的归档、保存和使用，严格限定使用权限。</w:t>
      </w:r>
    </w:p>
    <w:p w14:paraId="6DCF7D3F" w14:textId="78A64004"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执法机构及其工作人员不得伪造、删改、销毁、擅自对外提供或公示行政执法记录。</w:t>
      </w:r>
    </w:p>
    <w:p w14:paraId="4C04CEED" w14:textId="7D5F996D"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第三十七条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执法音像资料的保存期限，参照档案管理有关规定执行。对于记录以下情形的执法音像资料，应当永久保存：</w:t>
      </w:r>
    </w:p>
    <w:p w14:paraId="6F832972"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（一）作为行政处罚证据使用的；</w:t>
      </w:r>
    </w:p>
    <w:p w14:paraId="15D9E1F8"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（二）当事人或者现场其他人员有阻碍执法、妨害公务行为的；</w:t>
      </w:r>
    </w:p>
    <w:p w14:paraId="62BE9BC4"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（三）处置重大突发事件、群体事件的；</w:t>
      </w:r>
    </w:p>
    <w:p w14:paraId="456AA2A4"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（四）其他重大、疑难、复杂的执法活动。</w:t>
      </w:r>
    </w:p>
    <w:p w14:paraId="26EE51C2" w14:textId="72FF352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第三十八条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执法机构将执法视音频资料作为证据使用的，应当按照视听资料审查与认定的有关要求制作文字说明</w:t>
      </w:r>
      <w:r w:rsidRPr="00DB2512">
        <w:rPr>
          <w:rFonts w:ascii="仿宋_GB2312" w:eastAsia="仿宋_GB2312" w:hAnsi="PingFangSC-Regular" w:cs="宋体" w:hint="eastAsia"/>
          <w:color w:val="444444"/>
          <w:kern w:val="0"/>
          <w:sz w:val="32"/>
          <w:szCs w:val="32"/>
        </w:rPr>
        <w:lastRenderedPageBreak/>
        <w:t>材料，注明制作人、提取人、提取时间等信息，并将其复制为光盘后附卷。</w:t>
      </w:r>
    </w:p>
    <w:p w14:paraId="1FC353B3" w14:textId="2D708FB9"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第三十九条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涉及国家秘密、商业秘密和个人隐私的执法记录信息，应严格按照保密工作的有关规定和权限进行管理。</w:t>
      </w:r>
    </w:p>
    <w:p w14:paraId="236EB3CD" w14:textId="2D045249"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第四十条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当事人根据需要申请复制相关执法全过程记录信息的，经行政机构负责人同意，可复制使用，依法应保密的除外。</w:t>
      </w:r>
    </w:p>
    <w:p w14:paraId="68F474AB" w14:textId="77777777" w:rsidR="00DB2512" w:rsidRPr="00DB2512" w:rsidRDefault="00DB2512" w:rsidP="000813A6">
      <w:pPr>
        <w:shd w:val="clear" w:color="auto" w:fill="FFFFFF"/>
        <w:adjustRightInd w:val="0"/>
        <w:snapToGrid w:val="0"/>
        <w:jc w:val="center"/>
        <w:rPr>
          <w:rFonts w:ascii="PingFangSC-Regular" w:eastAsia="宋体" w:hAnsi="PingFangSC-Regular" w:cs="宋体" w:hint="eastAsia"/>
          <w:color w:val="444444"/>
          <w:kern w:val="0"/>
          <w:sz w:val="27"/>
          <w:szCs w:val="27"/>
        </w:rPr>
      </w:pPr>
      <w:r w:rsidRPr="00DB2512">
        <w:rPr>
          <w:rFonts w:ascii="Calibri" w:eastAsia="黑体" w:hAnsi="Calibri" w:cs="Calibri"/>
          <w:color w:val="444444"/>
          <w:kern w:val="0"/>
          <w:sz w:val="32"/>
          <w:szCs w:val="32"/>
        </w:rPr>
        <w:t> </w:t>
      </w:r>
    </w:p>
    <w:p w14:paraId="2140B827" w14:textId="23641EEE" w:rsidR="00DB2512" w:rsidRPr="00DB2512" w:rsidRDefault="00DB2512" w:rsidP="000A6C09">
      <w:pPr>
        <w:shd w:val="clear" w:color="auto" w:fill="FFFFFF"/>
        <w:adjustRightInd w:val="0"/>
        <w:snapToGrid w:val="0"/>
        <w:jc w:val="center"/>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第七章</w:t>
      </w:r>
      <w:r w:rsidRPr="00DB2512">
        <w:rPr>
          <w:rFonts w:ascii="Calibri" w:eastAsia="黑体" w:hAnsi="Calibri" w:cs="Calibri"/>
          <w:color w:val="444444"/>
          <w:kern w:val="0"/>
          <w:sz w:val="32"/>
          <w:szCs w:val="32"/>
        </w:rPr>
        <w:t> </w:t>
      </w:r>
      <w:r w:rsidRPr="00DB2512">
        <w:rPr>
          <w:rFonts w:ascii="黑体" w:eastAsia="黑体" w:hAnsi="黑体" w:cs="宋体" w:hint="eastAsia"/>
          <w:color w:val="444444"/>
          <w:kern w:val="0"/>
          <w:sz w:val="32"/>
          <w:szCs w:val="32"/>
        </w:rPr>
        <w:t>监督与责任</w:t>
      </w:r>
    </w:p>
    <w:p w14:paraId="4AE58702" w14:textId="5D49FB8E"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第四十一条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执法机构应建立健全行政执法全过程记录制度，加强对制度推行情况的监督检查。</w:t>
      </w:r>
    </w:p>
    <w:p w14:paraId="62794592" w14:textId="4BB468EC"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第四十二条</w:t>
      </w:r>
      <w:r w:rsidR="00FB51C5">
        <w:rPr>
          <w:rFonts w:ascii="仿宋_GB2312" w:eastAsia="仿宋_GB2312" w:hAnsi="PingFangSC-Regular"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执法机构实施执法全过程记录中有下列情形之一的，由上级行政机关或有关部门责令限期整改；情节严重或造成严重后果的，对直接负责的主管人员和其他责任人员依法追究相应责任。</w:t>
      </w:r>
    </w:p>
    <w:p w14:paraId="616ED6D1"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（一）不制作或不按要求制作执法全过程记录的；</w:t>
      </w:r>
    </w:p>
    <w:p w14:paraId="7433F587"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（二）违反规定泄露执法记录信息造成严重后果的；</w:t>
      </w:r>
    </w:p>
    <w:p w14:paraId="085F2193"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（三）故意伪造、毁损、删改执法全过程中文字或音像记录信息的；</w:t>
      </w:r>
    </w:p>
    <w:p w14:paraId="4497BCAC"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（四）不按规定储存或维护致使执法记录损毁、丢失，造成严重后果的；</w:t>
      </w:r>
    </w:p>
    <w:p w14:paraId="0C2DFC23" w14:textId="77777777"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仿宋_GB2312" w:eastAsia="仿宋_GB2312" w:hAnsi="PingFangSC-Regular" w:cs="宋体" w:hint="eastAsia"/>
          <w:color w:val="444444"/>
          <w:kern w:val="0"/>
          <w:sz w:val="32"/>
          <w:szCs w:val="32"/>
        </w:rPr>
        <w:t>（五）其他违反执法全过程记录规定，造成严重后果的。</w:t>
      </w:r>
    </w:p>
    <w:p w14:paraId="5B2E8289" w14:textId="77777777" w:rsidR="00DB2512" w:rsidRPr="00DB2512" w:rsidRDefault="00DB2512" w:rsidP="000813A6">
      <w:pPr>
        <w:shd w:val="clear" w:color="auto" w:fill="FFFFFF"/>
        <w:adjustRightInd w:val="0"/>
        <w:snapToGrid w:val="0"/>
        <w:jc w:val="center"/>
        <w:rPr>
          <w:rFonts w:ascii="PingFangSC-Regular" w:eastAsia="宋体" w:hAnsi="PingFangSC-Regular" w:cs="宋体" w:hint="eastAsia"/>
          <w:color w:val="444444"/>
          <w:kern w:val="0"/>
          <w:sz w:val="27"/>
          <w:szCs w:val="27"/>
        </w:rPr>
      </w:pPr>
      <w:r w:rsidRPr="00DB2512">
        <w:rPr>
          <w:rFonts w:ascii="Calibri" w:eastAsia="黑体" w:hAnsi="Calibri" w:cs="Calibri"/>
          <w:color w:val="444444"/>
          <w:kern w:val="0"/>
          <w:sz w:val="32"/>
          <w:szCs w:val="32"/>
        </w:rPr>
        <w:t> </w:t>
      </w:r>
    </w:p>
    <w:p w14:paraId="2252A7F9" w14:textId="77777777" w:rsidR="00DB2512" w:rsidRPr="00DB2512" w:rsidRDefault="00DB2512" w:rsidP="000813A6">
      <w:pPr>
        <w:shd w:val="clear" w:color="auto" w:fill="FFFFFF"/>
        <w:adjustRightInd w:val="0"/>
        <w:snapToGrid w:val="0"/>
        <w:jc w:val="center"/>
        <w:rPr>
          <w:rFonts w:ascii="PingFangSC-Regular" w:eastAsia="宋体" w:hAnsi="PingFangSC-Regular" w:cs="宋体" w:hint="eastAsia"/>
          <w:color w:val="444444"/>
          <w:kern w:val="0"/>
          <w:sz w:val="27"/>
          <w:szCs w:val="27"/>
        </w:rPr>
      </w:pPr>
      <w:r w:rsidRPr="00DB2512">
        <w:rPr>
          <w:rFonts w:ascii="Calibri" w:eastAsia="黑体" w:hAnsi="Calibri" w:cs="Calibri"/>
          <w:color w:val="444444"/>
          <w:kern w:val="0"/>
          <w:sz w:val="32"/>
          <w:szCs w:val="32"/>
        </w:rPr>
        <w:lastRenderedPageBreak/>
        <w:t> </w:t>
      </w:r>
    </w:p>
    <w:p w14:paraId="7E592650" w14:textId="4C137524" w:rsidR="00DB2512" w:rsidRPr="00DB2512" w:rsidRDefault="00DB2512" w:rsidP="000A6C09">
      <w:pPr>
        <w:shd w:val="clear" w:color="auto" w:fill="FFFFFF"/>
        <w:adjustRightInd w:val="0"/>
        <w:snapToGrid w:val="0"/>
        <w:jc w:val="center"/>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第八章</w:t>
      </w:r>
      <w:r w:rsidRPr="00DB2512">
        <w:rPr>
          <w:rFonts w:ascii="Calibri" w:eastAsia="黑体" w:hAnsi="Calibri" w:cs="Calibri"/>
          <w:color w:val="444444"/>
          <w:kern w:val="0"/>
          <w:sz w:val="32"/>
          <w:szCs w:val="32"/>
        </w:rPr>
        <w:t> </w:t>
      </w:r>
      <w:r w:rsidRPr="00DB2512">
        <w:rPr>
          <w:rFonts w:ascii="黑体" w:eastAsia="黑体" w:hAnsi="黑体" w:cs="宋体" w:hint="eastAsia"/>
          <w:color w:val="444444"/>
          <w:kern w:val="0"/>
          <w:sz w:val="32"/>
          <w:szCs w:val="32"/>
        </w:rPr>
        <w:t>附</w:t>
      </w:r>
      <w:r w:rsidRPr="00DB2512">
        <w:rPr>
          <w:rFonts w:ascii="Calibri" w:eastAsia="黑体" w:hAnsi="Calibri" w:cs="Calibri"/>
          <w:color w:val="444444"/>
          <w:kern w:val="0"/>
          <w:sz w:val="32"/>
          <w:szCs w:val="32"/>
        </w:rPr>
        <w:t> </w:t>
      </w:r>
      <w:r w:rsidRPr="00DB2512">
        <w:rPr>
          <w:rFonts w:ascii="黑体" w:eastAsia="黑体" w:hAnsi="黑体" w:cs="宋体" w:hint="eastAsia"/>
          <w:color w:val="444444"/>
          <w:kern w:val="0"/>
          <w:sz w:val="32"/>
          <w:szCs w:val="32"/>
        </w:rPr>
        <w:t>则</w:t>
      </w:r>
    </w:p>
    <w:p w14:paraId="3D1FD71B" w14:textId="13C4523E"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第四十三条</w:t>
      </w:r>
      <w:r w:rsidR="00FB51C5">
        <w:rPr>
          <w:rFonts w:ascii="黑体" w:eastAsia="黑体" w:hAnsi="黑体" w:cs="宋体" w:hint="eastAsia"/>
          <w:color w:val="444444"/>
          <w:kern w:val="0"/>
          <w:sz w:val="32"/>
          <w:szCs w:val="32"/>
        </w:rPr>
        <w:t xml:space="preserve"> </w:t>
      </w:r>
      <w:r w:rsidRPr="00DB2512">
        <w:rPr>
          <w:rFonts w:ascii="仿宋_GB2312" w:eastAsia="仿宋_GB2312" w:hAnsi="PingFangSC-Regular" w:cs="宋体" w:hint="eastAsia"/>
          <w:color w:val="444444"/>
          <w:kern w:val="0"/>
          <w:sz w:val="32"/>
          <w:szCs w:val="32"/>
        </w:rPr>
        <w:t>执法机构办理行政执法事项，应按要求健全内部工作程序，全程记录内部审批流程，明确承办人、审核人、批准人，按照行政执法的依据、条件和程序，由承办人提出意见和理由，经审核人审核后，由批准人批准。</w:t>
      </w:r>
    </w:p>
    <w:p w14:paraId="098BED05" w14:textId="68B6EE1B" w:rsidR="00DB2512" w:rsidRPr="00DB2512" w:rsidRDefault="00DB2512" w:rsidP="000813A6">
      <w:pPr>
        <w:shd w:val="clear" w:color="auto" w:fill="FFFFFF"/>
        <w:adjustRightInd w:val="0"/>
        <w:snapToGrid w:val="0"/>
        <w:ind w:firstLine="640"/>
        <w:rPr>
          <w:rFonts w:ascii="PingFangSC-Regular" w:eastAsia="宋体" w:hAnsi="PingFangSC-Regular" w:cs="宋体" w:hint="eastAsia"/>
          <w:color w:val="444444"/>
          <w:kern w:val="0"/>
          <w:sz w:val="27"/>
          <w:szCs w:val="27"/>
        </w:rPr>
      </w:pPr>
      <w:r w:rsidRPr="00DB2512">
        <w:rPr>
          <w:rFonts w:ascii="黑体" w:eastAsia="黑体" w:hAnsi="黑体" w:cs="宋体" w:hint="eastAsia"/>
          <w:color w:val="444444"/>
          <w:kern w:val="0"/>
          <w:sz w:val="32"/>
          <w:szCs w:val="32"/>
        </w:rPr>
        <w:t>第四十四条</w:t>
      </w:r>
      <w:r w:rsidR="00FB51C5">
        <w:rPr>
          <w:rFonts w:ascii="黑体" w:eastAsia="黑体" w:hAnsi="黑体" w:cs="宋体"/>
          <w:color w:val="444444"/>
          <w:kern w:val="0"/>
          <w:sz w:val="32"/>
          <w:szCs w:val="32"/>
        </w:rPr>
        <w:t xml:space="preserve"> </w:t>
      </w:r>
      <w:r w:rsidRPr="00DB2512">
        <w:rPr>
          <w:rFonts w:ascii="仿宋_GB2312" w:eastAsia="仿宋_GB2312" w:hAnsi="PingFangSC-Regular" w:cs="宋体" w:hint="eastAsia"/>
          <w:color w:val="444444"/>
          <w:kern w:val="0"/>
          <w:sz w:val="32"/>
          <w:szCs w:val="32"/>
        </w:rPr>
        <w:t>本办法自印发之日起施行。</w:t>
      </w:r>
    </w:p>
    <w:p w14:paraId="2823FB6D" w14:textId="77777777" w:rsidR="0035048E" w:rsidRPr="00DB2512" w:rsidRDefault="0035048E" w:rsidP="000813A6">
      <w:pPr>
        <w:adjustRightInd w:val="0"/>
        <w:snapToGrid w:val="0"/>
      </w:pPr>
    </w:p>
    <w:sectPr w:rsidR="0035048E" w:rsidRPr="00DB2512">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10BE8E" w14:textId="77777777" w:rsidR="00550F65" w:rsidRDefault="00550F65" w:rsidP="00DB2512">
      <w:pPr>
        <w:spacing w:line="240" w:lineRule="auto"/>
      </w:pPr>
      <w:r>
        <w:separator/>
      </w:r>
    </w:p>
  </w:endnote>
  <w:endnote w:type="continuationSeparator" w:id="0">
    <w:p w14:paraId="146694A8" w14:textId="77777777" w:rsidR="00550F65" w:rsidRDefault="00550F65" w:rsidP="00DB25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PingFangSC-Regular">
    <w:altName w:val="Cambria"/>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黑体">
    <w:altName w:val="SimHei"/>
    <w:panose1 w:val="0201060003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0833742"/>
      <w:docPartObj>
        <w:docPartGallery w:val="Page Numbers (Bottom of Page)"/>
        <w:docPartUnique/>
      </w:docPartObj>
    </w:sdtPr>
    <w:sdtEndPr/>
    <w:sdtContent>
      <w:p w14:paraId="27D08C94" w14:textId="5383B6B6" w:rsidR="000813A6" w:rsidRDefault="000813A6">
        <w:pPr>
          <w:pStyle w:val="a5"/>
          <w:jc w:val="center"/>
        </w:pPr>
        <w:r>
          <w:fldChar w:fldCharType="begin"/>
        </w:r>
        <w:r>
          <w:instrText>PAGE   \* MERGEFORMAT</w:instrText>
        </w:r>
        <w:r>
          <w:fldChar w:fldCharType="separate"/>
        </w:r>
        <w:r>
          <w:rPr>
            <w:lang w:val="zh-CN"/>
          </w:rPr>
          <w:t>2</w:t>
        </w:r>
        <w:r>
          <w:fldChar w:fldCharType="end"/>
        </w:r>
      </w:p>
    </w:sdtContent>
  </w:sdt>
  <w:p w14:paraId="6C52A1B2" w14:textId="77777777" w:rsidR="000813A6" w:rsidRDefault="000813A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D86291" w14:textId="77777777" w:rsidR="00550F65" w:rsidRDefault="00550F65" w:rsidP="00DB2512">
      <w:pPr>
        <w:spacing w:line="240" w:lineRule="auto"/>
      </w:pPr>
      <w:r>
        <w:separator/>
      </w:r>
    </w:p>
  </w:footnote>
  <w:footnote w:type="continuationSeparator" w:id="0">
    <w:p w14:paraId="0640149A" w14:textId="77777777" w:rsidR="00550F65" w:rsidRDefault="00550F65" w:rsidP="00DB251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FC5"/>
    <w:rsid w:val="000813A6"/>
    <w:rsid w:val="000A6C09"/>
    <w:rsid w:val="002E4046"/>
    <w:rsid w:val="0035048E"/>
    <w:rsid w:val="00550F65"/>
    <w:rsid w:val="006F40F7"/>
    <w:rsid w:val="00711FC5"/>
    <w:rsid w:val="00800A07"/>
    <w:rsid w:val="00DB2512"/>
    <w:rsid w:val="00DB668D"/>
    <w:rsid w:val="00FB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1093DC"/>
  <w15:chartTrackingRefBased/>
  <w15:docId w15:val="{AF7AC4C2-7667-449C-89D0-91EE3FDF7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pPr>
        <w:spacing w:line="56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B2512"/>
    <w:pPr>
      <w:spacing w:before="100" w:beforeAutospacing="1" w:after="100" w:afterAutospacing="1" w:line="240" w:lineRule="auto"/>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12"/>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4">
    <w:name w:val="页眉 字符"/>
    <w:basedOn w:val="a0"/>
    <w:link w:val="a3"/>
    <w:uiPriority w:val="99"/>
    <w:rsid w:val="00DB2512"/>
    <w:rPr>
      <w:sz w:val="18"/>
      <w:szCs w:val="18"/>
    </w:rPr>
  </w:style>
  <w:style w:type="paragraph" w:styleId="a5">
    <w:name w:val="footer"/>
    <w:basedOn w:val="a"/>
    <w:link w:val="a6"/>
    <w:uiPriority w:val="99"/>
    <w:unhideWhenUsed/>
    <w:rsid w:val="00DB2512"/>
    <w:pPr>
      <w:tabs>
        <w:tab w:val="center" w:pos="4153"/>
        <w:tab w:val="right" w:pos="8306"/>
      </w:tabs>
      <w:snapToGrid w:val="0"/>
      <w:spacing w:line="240" w:lineRule="atLeast"/>
      <w:jc w:val="left"/>
    </w:pPr>
    <w:rPr>
      <w:sz w:val="18"/>
      <w:szCs w:val="18"/>
    </w:rPr>
  </w:style>
  <w:style w:type="character" w:customStyle="1" w:styleId="a6">
    <w:name w:val="页脚 字符"/>
    <w:basedOn w:val="a0"/>
    <w:link w:val="a5"/>
    <w:uiPriority w:val="99"/>
    <w:rsid w:val="00DB2512"/>
    <w:rPr>
      <w:sz w:val="18"/>
      <w:szCs w:val="18"/>
    </w:rPr>
  </w:style>
  <w:style w:type="character" w:customStyle="1" w:styleId="10">
    <w:name w:val="标题 1 字符"/>
    <w:basedOn w:val="a0"/>
    <w:link w:val="1"/>
    <w:uiPriority w:val="9"/>
    <w:rsid w:val="00DB2512"/>
    <w:rPr>
      <w:rFonts w:ascii="宋体" w:eastAsia="宋体" w:hAnsi="宋体" w:cs="宋体"/>
      <w:b/>
      <w:bCs/>
      <w:kern w:val="36"/>
      <w:sz w:val="48"/>
      <w:szCs w:val="48"/>
    </w:rPr>
  </w:style>
  <w:style w:type="character" w:customStyle="1" w:styleId="time">
    <w:name w:val="time"/>
    <w:basedOn w:val="a0"/>
    <w:rsid w:val="00DB25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5589277">
      <w:bodyDiv w:val="1"/>
      <w:marLeft w:val="0"/>
      <w:marRight w:val="0"/>
      <w:marTop w:val="0"/>
      <w:marBottom w:val="0"/>
      <w:divBdr>
        <w:top w:val="none" w:sz="0" w:space="0" w:color="auto"/>
        <w:left w:val="none" w:sz="0" w:space="0" w:color="auto"/>
        <w:bottom w:val="none" w:sz="0" w:space="0" w:color="auto"/>
        <w:right w:val="none" w:sz="0" w:space="0" w:color="auto"/>
      </w:divBdr>
      <w:divsChild>
        <w:div w:id="418450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12</Pages>
  <Words>790</Words>
  <Characters>4505</Characters>
  <Application>Microsoft Office Word</Application>
  <DocSecurity>0</DocSecurity>
  <Lines>37</Lines>
  <Paragraphs>10</Paragraphs>
  <ScaleCrop>false</ScaleCrop>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2021-12-16T06:04:00Z</dcterms:created>
  <dcterms:modified xsi:type="dcterms:W3CDTF">2021-12-16T06:37:00Z</dcterms:modified>
</cp:coreProperties>
</file>