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35A7E" w14:textId="77777777" w:rsidR="00285130" w:rsidRDefault="00537D7B" w:rsidP="0064102A">
      <w:pPr>
        <w:spacing w:line="540" w:lineRule="exact"/>
        <w:jc w:val="center"/>
        <w:rPr>
          <w:rFonts w:ascii="方正小标宋简体" w:eastAsia="方正小标宋简体" w:hAnsi="PingFangSC-Regular" w:cs="宋体"/>
          <w:color w:val="444444"/>
          <w:kern w:val="0"/>
          <w:sz w:val="44"/>
          <w:szCs w:val="44"/>
        </w:rPr>
      </w:pPr>
      <w:bookmarkStart w:id="0" w:name="_GoBack"/>
      <w:r w:rsidRPr="00537D7B">
        <w:rPr>
          <w:rFonts w:ascii="方正小标宋简体" w:eastAsia="方正小标宋简体" w:hAnsi="PingFangSC-Regular" w:cs="宋体" w:hint="eastAsia"/>
          <w:color w:val="444444"/>
          <w:kern w:val="0"/>
          <w:sz w:val="44"/>
          <w:szCs w:val="44"/>
        </w:rPr>
        <w:t>大连</w:t>
      </w:r>
      <w:r>
        <w:rPr>
          <w:rFonts w:ascii="方正小标宋简体" w:eastAsia="方正小标宋简体" w:hAnsi="PingFangSC-Regular" w:cs="宋体" w:hint="eastAsia"/>
          <w:color w:val="444444"/>
          <w:kern w:val="0"/>
          <w:sz w:val="44"/>
          <w:szCs w:val="44"/>
        </w:rPr>
        <w:t>高新区社会管理局</w:t>
      </w:r>
    </w:p>
    <w:p w14:paraId="0CDEC2E4" w14:textId="66AD012F" w:rsidR="00537D7B" w:rsidRPr="00537D7B" w:rsidRDefault="00537D7B" w:rsidP="0064102A">
      <w:pPr>
        <w:spacing w:line="540" w:lineRule="exact"/>
        <w:jc w:val="center"/>
        <w:rPr>
          <w:rFonts w:ascii="PingFangSC-Regular" w:eastAsia="宋体" w:hAnsi="PingFangSC-Regular" w:cs="宋体"/>
          <w:color w:val="444444"/>
          <w:kern w:val="0"/>
          <w:sz w:val="24"/>
          <w:szCs w:val="24"/>
        </w:rPr>
      </w:pPr>
      <w:r w:rsidRPr="00537D7B">
        <w:rPr>
          <w:rFonts w:ascii="方正小标宋简体" w:eastAsia="方正小标宋简体" w:hAnsi="PingFangSC-Regular" w:cs="宋体" w:hint="eastAsia"/>
          <w:color w:val="444444"/>
          <w:kern w:val="0"/>
          <w:sz w:val="44"/>
          <w:szCs w:val="44"/>
        </w:rPr>
        <w:t>重大行政执法决定法制审核办法</w:t>
      </w:r>
    </w:p>
    <w:bookmarkEnd w:id="0"/>
    <w:p w14:paraId="58E74FE9" w14:textId="77777777" w:rsidR="00537D7B" w:rsidRPr="00537D7B" w:rsidRDefault="00537D7B" w:rsidP="0064102A">
      <w:pPr>
        <w:spacing w:line="540" w:lineRule="exact"/>
        <w:rPr>
          <w:rFonts w:ascii="PingFangSC-Regular" w:eastAsia="宋体" w:hAnsi="PingFangSC-Regular" w:cs="宋体"/>
          <w:color w:val="444444"/>
          <w:kern w:val="0"/>
          <w:sz w:val="24"/>
          <w:szCs w:val="24"/>
        </w:rPr>
      </w:pPr>
      <w:r w:rsidRPr="00537D7B">
        <w:rPr>
          <w:rFonts w:ascii="Calibri" w:eastAsia="黑体" w:hAnsi="Calibri" w:cs="Calibri"/>
          <w:color w:val="444444"/>
          <w:kern w:val="0"/>
          <w:sz w:val="32"/>
          <w:szCs w:val="32"/>
        </w:rPr>
        <w:t> </w:t>
      </w:r>
    </w:p>
    <w:p w14:paraId="3CF1887E" w14:textId="7E313A9A" w:rsidR="00537D7B" w:rsidRPr="00537D7B" w:rsidRDefault="00537D7B" w:rsidP="0064102A">
      <w:pPr>
        <w:spacing w:line="540" w:lineRule="exact"/>
        <w:rPr>
          <w:rFonts w:ascii="PingFangSC-Regular" w:eastAsia="宋体" w:hAnsi="PingFangSC-Regular" w:cs="宋体"/>
          <w:color w:val="444444"/>
          <w:kern w:val="0"/>
          <w:sz w:val="24"/>
          <w:szCs w:val="24"/>
        </w:rPr>
      </w:pPr>
      <w:r w:rsidRPr="00537D7B">
        <w:rPr>
          <w:rFonts w:ascii="Calibri" w:eastAsia="黑体" w:hAnsi="Calibri" w:cs="Calibri"/>
          <w:color w:val="444444"/>
          <w:kern w:val="0"/>
          <w:sz w:val="32"/>
          <w:szCs w:val="32"/>
        </w:rPr>
        <w:t>    </w:t>
      </w:r>
      <w:r>
        <w:rPr>
          <w:rFonts w:ascii="Calibri" w:eastAsia="黑体" w:hAnsi="Calibri" w:cs="Calibri"/>
          <w:color w:val="444444"/>
          <w:kern w:val="0"/>
          <w:sz w:val="32"/>
          <w:szCs w:val="32"/>
        </w:rPr>
        <w:t xml:space="preserve">  </w:t>
      </w:r>
      <w:r w:rsidRPr="00537D7B">
        <w:rPr>
          <w:rFonts w:ascii="黑体" w:eastAsia="黑体" w:hAnsi="黑体" w:cs="宋体" w:hint="eastAsia"/>
          <w:color w:val="444444"/>
          <w:kern w:val="0"/>
          <w:sz w:val="32"/>
          <w:szCs w:val="32"/>
        </w:rPr>
        <w:t>第一条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为加强对</w:t>
      </w:r>
      <w:r>
        <w:rPr>
          <w:rFonts w:ascii="仿宋_GB2312" w:eastAsia="仿宋_GB2312" w:hAnsi="PingFangSC-Regular" w:cs="宋体" w:hint="eastAsia"/>
          <w:color w:val="444444"/>
          <w:kern w:val="0"/>
          <w:sz w:val="32"/>
          <w:szCs w:val="32"/>
        </w:rPr>
        <w:t>社会管理局</w:t>
      </w:r>
      <w:r w:rsidRPr="00537D7B">
        <w:rPr>
          <w:rFonts w:ascii="仿宋_GB2312" w:eastAsia="仿宋_GB2312" w:hAnsi="PingFangSC-Regular" w:cs="宋体" w:hint="eastAsia"/>
          <w:color w:val="444444"/>
          <w:kern w:val="0"/>
          <w:sz w:val="32"/>
          <w:szCs w:val="32"/>
        </w:rPr>
        <w:t>重大行政执法行为的监督，保护公民、法人和非法人组织的合法权益，促进依法行政，根据有关法律、法规、规章的规定和《大连市重大行政执法决定法制审核规定》，结合</w:t>
      </w:r>
      <w:r>
        <w:rPr>
          <w:rFonts w:ascii="仿宋_GB2312" w:eastAsia="仿宋_GB2312" w:hAnsi="PingFangSC-Regular" w:cs="宋体" w:hint="eastAsia"/>
          <w:color w:val="444444"/>
          <w:kern w:val="0"/>
          <w:sz w:val="32"/>
          <w:szCs w:val="32"/>
        </w:rPr>
        <w:t>本单位</w:t>
      </w:r>
      <w:r w:rsidRPr="00537D7B">
        <w:rPr>
          <w:rFonts w:ascii="仿宋_GB2312" w:eastAsia="仿宋_GB2312" w:hAnsi="PingFangSC-Regular" w:cs="宋体" w:hint="eastAsia"/>
          <w:color w:val="444444"/>
          <w:kern w:val="0"/>
          <w:sz w:val="32"/>
          <w:szCs w:val="32"/>
        </w:rPr>
        <w:t>工作实际，制定本办法。</w:t>
      </w:r>
    </w:p>
    <w:p w14:paraId="190E245D" w14:textId="452CE72A"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第二条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本办法所称重大行政执法决定法制审核，是指</w:t>
      </w:r>
      <w:r>
        <w:rPr>
          <w:rFonts w:ascii="仿宋_GB2312" w:eastAsia="仿宋_GB2312" w:hAnsi="PingFangSC-Regular" w:cs="宋体" w:hint="eastAsia"/>
          <w:color w:val="444444"/>
          <w:kern w:val="0"/>
          <w:sz w:val="32"/>
          <w:szCs w:val="32"/>
        </w:rPr>
        <w:t>社会管理局</w:t>
      </w:r>
      <w:r w:rsidRPr="00537D7B">
        <w:rPr>
          <w:rFonts w:ascii="仿宋_GB2312" w:eastAsia="仿宋_GB2312" w:hAnsi="PingFangSC-Regular" w:cs="宋体" w:hint="eastAsia"/>
          <w:color w:val="444444"/>
          <w:kern w:val="0"/>
          <w:sz w:val="32"/>
          <w:szCs w:val="32"/>
        </w:rPr>
        <w:t>及其依法委托</w:t>
      </w:r>
      <w:r>
        <w:rPr>
          <w:rFonts w:ascii="仿宋_GB2312" w:eastAsia="仿宋_GB2312" w:hAnsi="PingFangSC-Regular" w:cs="宋体" w:hint="eastAsia"/>
          <w:color w:val="444444"/>
          <w:kern w:val="0"/>
          <w:sz w:val="32"/>
          <w:szCs w:val="32"/>
        </w:rPr>
        <w:t>的</w:t>
      </w:r>
      <w:r w:rsidRPr="00537D7B">
        <w:rPr>
          <w:rFonts w:ascii="仿宋_GB2312" w:eastAsia="仿宋_GB2312" w:hAnsi="PingFangSC-Regular" w:cs="宋体" w:hint="eastAsia"/>
          <w:color w:val="444444"/>
          <w:kern w:val="0"/>
          <w:sz w:val="32"/>
          <w:szCs w:val="32"/>
        </w:rPr>
        <w:t>从事行政执法活动的</w:t>
      </w:r>
      <w:r>
        <w:rPr>
          <w:rFonts w:ascii="仿宋_GB2312" w:eastAsia="仿宋_GB2312" w:hAnsi="PingFangSC-Regular" w:cs="宋体" w:hint="eastAsia"/>
          <w:color w:val="444444"/>
          <w:kern w:val="0"/>
          <w:sz w:val="32"/>
          <w:szCs w:val="32"/>
        </w:rPr>
        <w:t>部门和组织</w:t>
      </w:r>
      <w:r w:rsidRPr="00537D7B">
        <w:rPr>
          <w:rFonts w:ascii="仿宋_GB2312" w:eastAsia="仿宋_GB2312" w:hAnsi="PingFangSC-Regular" w:cs="宋体" w:hint="eastAsia"/>
          <w:color w:val="444444"/>
          <w:kern w:val="0"/>
          <w:sz w:val="32"/>
          <w:szCs w:val="32"/>
        </w:rPr>
        <w:t>在</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重大行政执法决定之前，由局负责法制工作的机构或人员（以下统称法制审核部门）对其合法性、合理性进行审核的活动。</w:t>
      </w:r>
    </w:p>
    <w:p w14:paraId="4E95CE6A"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第三条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重大行政执法决定</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前须经法制审核。未经法制审核或者审核未通过的，不得</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重大行政执法决定。</w:t>
      </w:r>
    </w:p>
    <w:p w14:paraId="641C8F0C"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第四条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重大行政执法决定法制审核应当遵循合法、公平、公正、及时的原则，坚持有错必纠，保障法律、法规、规章的正确实施。</w:t>
      </w:r>
    </w:p>
    <w:p w14:paraId="36A8B7B2" w14:textId="1F9EF84E"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第五条</w:t>
      </w:r>
      <w:r w:rsidRPr="00537D7B">
        <w:rPr>
          <w:rFonts w:ascii="仿宋_GB2312" w:eastAsia="仿宋_GB2312" w:hAnsi="PingFangSC-Regular" w:cs="宋体" w:hint="eastAsia"/>
          <w:color w:val="444444"/>
          <w:kern w:val="0"/>
          <w:sz w:val="32"/>
          <w:szCs w:val="32"/>
        </w:rPr>
        <w:t> </w:t>
      </w:r>
      <w:r w:rsidR="00285130">
        <w:rPr>
          <w:rFonts w:ascii="仿宋_GB2312" w:eastAsia="仿宋_GB2312" w:hAnsi="PingFangSC-Regular" w:cs="宋体" w:hint="eastAsia"/>
          <w:color w:val="444444"/>
          <w:kern w:val="0"/>
          <w:sz w:val="32"/>
          <w:szCs w:val="32"/>
        </w:rPr>
        <w:t>全局各业务科室</w:t>
      </w:r>
      <w:r w:rsidRPr="00537D7B">
        <w:rPr>
          <w:rFonts w:ascii="仿宋_GB2312" w:eastAsia="仿宋_GB2312" w:hAnsi="PingFangSC-Regular" w:cs="宋体" w:hint="eastAsia"/>
          <w:color w:val="444444"/>
          <w:kern w:val="0"/>
          <w:sz w:val="32"/>
          <w:szCs w:val="32"/>
        </w:rPr>
        <w:t>应根据本部门职能特点，结合执法类别、执法层级、所属领域、涉案金额以及对当事人、社会的影响等因素，确定行政许可、行政处罚、行政强制等行政执法行为的重大执法决定法制审核范围，编制《重大行政执法决定法制审核目录清单》，并报</w:t>
      </w:r>
      <w:r w:rsidR="00285130">
        <w:rPr>
          <w:rFonts w:ascii="仿宋_GB2312" w:eastAsia="仿宋_GB2312" w:hAnsi="PingFangSC-Regular" w:cs="宋体" w:hint="eastAsia"/>
          <w:color w:val="444444"/>
          <w:kern w:val="0"/>
          <w:sz w:val="32"/>
          <w:szCs w:val="32"/>
        </w:rPr>
        <w:t>区</w:t>
      </w:r>
      <w:r w:rsidRPr="00537D7B">
        <w:rPr>
          <w:rFonts w:ascii="仿宋_GB2312" w:eastAsia="仿宋_GB2312" w:hAnsi="PingFangSC-Regular" w:cs="宋体" w:hint="eastAsia"/>
          <w:color w:val="444444"/>
          <w:kern w:val="0"/>
          <w:sz w:val="32"/>
          <w:szCs w:val="32"/>
        </w:rPr>
        <w:t>法制审核部门备案。</w:t>
      </w:r>
      <w:r w:rsidRPr="00537D7B">
        <w:rPr>
          <w:rFonts w:ascii="Calibri" w:eastAsia="黑体" w:hAnsi="Calibri" w:cs="Calibri"/>
          <w:color w:val="444444"/>
          <w:kern w:val="0"/>
          <w:sz w:val="32"/>
          <w:szCs w:val="32"/>
        </w:rPr>
        <w:t> </w:t>
      </w:r>
    </w:p>
    <w:p w14:paraId="019BF691" w14:textId="30A87F42"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第六条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执法机构</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下列重大行政执法决定，应当在</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执法决定前进行法制审核。审核的范围既包括《大连市重</w:t>
      </w:r>
      <w:r w:rsidRPr="00537D7B">
        <w:rPr>
          <w:rFonts w:ascii="仿宋_GB2312" w:eastAsia="仿宋_GB2312" w:hAnsi="PingFangSC-Regular" w:cs="宋体" w:hint="eastAsia"/>
          <w:color w:val="444444"/>
          <w:kern w:val="0"/>
          <w:sz w:val="32"/>
          <w:szCs w:val="32"/>
        </w:rPr>
        <w:lastRenderedPageBreak/>
        <w:t>大行政执法决定法制审核规定》中第五条要求的范围进行法制审核，还应包括：</w:t>
      </w:r>
    </w:p>
    <w:p w14:paraId="574ED66A" w14:textId="01709DB9"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（一）对行政相对人处以停止执业、责令停业整顿、吊销执业资格等重大行政处罚决定的；</w:t>
      </w:r>
      <w:r w:rsidRPr="00537D7B">
        <w:rPr>
          <w:rFonts w:ascii="仿宋_GB2312" w:eastAsia="仿宋_GB2312" w:hAnsi="PingFangSC-Regular" w:cs="宋体" w:hint="eastAsia"/>
          <w:color w:val="444444"/>
          <w:kern w:val="0"/>
          <w:sz w:val="32"/>
          <w:szCs w:val="32"/>
        </w:rPr>
        <w:t> </w:t>
      </w:r>
      <w:r w:rsidRPr="00537D7B">
        <w:rPr>
          <w:rFonts w:ascii="仿宋_GB2312" w:eastAsia="仿宋_GB2312" w:hAnsi="PingFangSC-Regular" w:cs="宋体" w:hint="eastAsia"/>
          <w:color w:val="444444"/>
          <w:kern w:val="0"/>
          <w:sz w:val="32"/>
          <w:szCs w:val="32"/>
        </w:rPr>
        <w:br/>
      </w:r>
      <w:r w:rsidRPr="00537D7B">
        <w:rPr>
          <w:rFonts w:ascii="仿宋_GB2312" w:eastAsia="仿宋_GB2312" w:hAnsi="PingFangSC-Regular" w:cs="宋体" w:hint="eastAsia"/>
          <w:color w:val="444444"/>
          <w:kern w:val="0"/>
          <w:sz w:val="32"/>
          <w:szCs w:val="32"/>
        </w:rPr>
        <w:t>    </w:t>
      </w:r>
      <w:r w:rsidR="00285130">
        <w:rPr>
          <w:rFonts w:ascii="仿宋_GB2312" w:eastAsia="仿宋_GB2312" w:hAnsi="PingFangSC-Regular" w:cs="宋体"/>
          <w:color w:val="444444"/>
          <w:kern w:val="0"/>
          <w:sz w:val="32"/>
          <w:szCs w:val="32"/>
        </w:rPr>
        <w:t xml:space="preserve">  </w:t>
      </w:r>
      <w:r w:rsidRPr="00537D7B">
        <w:rPr>
          <w:rFonts w:ascii="仿宋_GB2312" w:eastAsia="仿宋_GB2312" w:hAnsi="PingFangSC-Regular" w:cs="宋体" w:hint="eastAsia"/>
          <w:color w:val="444444"/>
          <w:kern w:val="0"/>
          <w:sz w:val="32"/>
          <w:szCs w:val="32"/>
        </w:rPr>
        <w:t>（二）对个人处以罚款、没收违法所得数额超过三千元（含三千元）或对机构处以罚款、没收违法所得数额超过二万元（含二万元）的行政处罚决定；</w:t>
      </w:r>
      <w:r w:rsidRPr="00537D7B">
        <w:rPr>
          <w:rFonts w:ascii="仿宋_GB2312" w:eastAsia="仿宋_GB2312" w:hAnsi="PingFangSC-Regular" w:cs="宋体" w:hint="eastAsia"/>
          <w:color w:val="444444"/>
          <w:kern w:val="0"/>
          <w:sz w:val="32"/>
          <w:szCs w:val="32"/>
        </w:rPr>
        <w:t> </w:t>
      </w:r>
      <w:r w:rsidRPr="00537D7B">
        <w:rPr>
          <w:rFonts w:ascii="仿宋_GB2312" w:eastAsia="仿宋_GB2312" w:hAnsi="PingFangSC-Regular" w:cs="宋体" w:hint="eastAsia"/>
          <w:color w:val="444444"/>
          <w:kern w:val="0"/>
          <w:sz w:val="32"/>
          <w:szCs w:val="32"/>
        </w:rPr>
        <w:br/>
      </w:r>
      <w:r w:rsidRPr="00537D7B">
        <w:rPr>
          <w:rFonts w:ascii="仿宋_GB2312" w:eastAsia="仿宋_GB2312" w:hAnsi="PingFangSC-Regular" w:cs="宋体" w:hint="eastAsia"/>
          <w:color w:val="444444"/>
          <w:kern w:val="0"/>
          <w:sz w:val="32"/>
          <w:szCs w:val="32"/>
        </w:rPr>
        <w:t>   </w:t>
      </w:r>
      <w:r w:rsidR="00285130">
        <w:rPr>
          <w:rFonts w:ascii="仿宋_GB2312" w:eastAsia="仿宋_GB2312" w:hAnsi="PingFangSC-Regular" w:cs="宋体"/>
          <w:color w:val="444444"/>
          <w:kern w:val="0"/>
          <w:sz w:val="32"/>
          <w:szCs w:val="32"/>
        </w:rPr>
        <w:t xml:space="preserve">  </w:t>
      </w:r>
      <w:r w:rsidRPr="00537D7B">
        <w:rPr>
          <w:rFonts w:ascii="仿宋_GB2312" w:eastAsia="仿宋_GB2312" w:hAnsi="PingFangSC-Regular" w:cs="宋体" w:hint="eastAsia"/>
          <w:color w:val="444444"/>
          <w:kern w:val="0"/>
          <w:sz w:val="32"/>
          <w:szCs w:val="32"/>
        </w:rPr>
        <w:t> </w:t>
      </w:r>
      <w:r w:rsidRPr="00537D7B">
        <w:rPr>
          <w:rFonts w:ascii="仿宋_GB2312" w:eastAsia="仿宋_GB2312" w:hAnsi="PingFangSC-Regular" w:cs="宋体" w:hint="eastAsia"/>
          <w:color w:val="444444"/>
          <w:kern w:val="0"/>
          <w:sz w:val="32"/>
          <w:szCs w:val="32"/>
        </w:rPr>
        <w:t>（三）依职权</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的行政决定可能致使申请人丧失已经取得的执业资格的（执行上级机关做出决定的除外）；</w:t>
      </w:r>
      <w:r w:rsidRPr="00537D7B">
        <w:rPr>
          <w:rFonts w:ascii="仿宋_GB2312" w:eastAsia="仿宋_GB2312" w:hAnsi="PingFangSC-Regular" w:cs="宋体" w:hint="eastAsia"/>
          <w:color w:val="444444"/>
          <w:kern w:val="0"/>
          <w:sz w:val="32"/>
          <w:szCs w:val="32"/>
        </w:rPr>
        <w:t> </w:t>
      </w:r>
      <w:r w:rsidRPr="00537D7B">
        <w:rPr>
          <w:rFonts w:ascii="仿宋_GB2312" w:eastAsia="仿宋_GB2312" w:hAnsi="PingFangSC-Regular" w:cs="宋体" w:hint="eastAsia"/>
          <w:color w:val="444444"/>
          <w:kern w:val="0"/>
          <w:sz w:val="32"/>
          <w:szCs w:val="32"/>
        </w:rPr>
        <w:br/>
      </w:r>
      <w:r w:rsidRPr="00537D7B">
        <w:rPr>
          <w:rFonts w:ascii="仿宋_GB2312" w:eastAsia="仿宋_GB2312" w:hAnsi="PingFangSC-Regular" w:cs="宋体" w:hint="eastAsia"/>
          <w:color w:val="444444"/>
          <w:kern w:val="0"/>
          <w:sz w:val="32"/>
          <w:szCs w:val="32"/>
        </w:rPr>
        <w:t>    </w:t>
      </w:r>
      <w:r w:rsidRPr="00537D7B">
        <w:rPr>
          <w:rFonts w:ascii="仿宋_GB2312" w:eastAsia="仿宋_GB2312" w:hAnsi="PingFangSC-Regular" w:cs="宋体" w:hint="eastAsia"/>
          <w:color w:val="444444"/>
          <w:kern w:val="0"/>
          <w:sz w:val="32"/>
          <w:szCs w:val="32"/>
        </w:rPr>
        <w:t>（四）权责、程序、法律理解与适用问题存在较大争议，关系公民、法人或其他组织重大利益的行政执法决定。</w:t>
      </w:r>
    </w:p>
    <w:p w14:paraId="06849421" w14:textId="4B26E649"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第七条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执法机构在调查终结后，</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行政执法决定前，对符合重大行政执法决定条件的案件，应书面送交法制审核部门审核，并提交以下材料：</w:t>
      </w:r>
    </w:p>
    <w:p w14:paraId="273358FB"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（一）拟作出的重大行政执法决定的调查终结报告；</w:t>
      </w:r>
    </w:p>
    <w:p w14:paraId="77E9685A"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（二）拟作出的重大行政执法决定情况说明；</w:t>
      </w:r>
    </w:p>
    <w:p w14:paraId="5055365C"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（三）拟作出的重大行政执法决定书文本；</w:t>
      </w:r>
    </w:p>
    <w:p w14:paraId="70135663"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（四）相关证据资料和法律依据；</w:t>
      </w:r>
    </w:p>
    <w:p w14:paraId="30E6148B"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（五）经听证程序的，应当提交听证笔录；</w:t>
      </w:r>
    </w:p>
    <w:p w14:paraId="05AEE6A6"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（六）经过评估、鉴定程序的，应当提交评估、鉴定报告；</w:t>
      </w:r>
    </w:p>
    <w:p w14:paraId="21D33317"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（七）其他需要提交的材料。</w:t>
      </w:r>
    </w:p>
    <w:p w14:paraId="3E5BC974"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法制审核部门认为提交材料不齐全的，可以要求承办机构在指定时间内提交。</w:t>
      </w:r>
    </w:p>
    <w:p w14:paraId="624C47A6" w14:textId="1E035A44"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lastRenderedPageBreak/>
        <w:t>第八条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法制审核部门收到执法机构送审的材料后，应当及时进行审查。符合条件的，应当受理；不符合条件的，应当退回执法机构并书面说明理由；对符合条件，但是缺少相关材料的，应当要求执法机构补充，逾期不补充的，退回执法机构。</w:t>
      </w:r>
    </w:p>
    <w:p w14:paraId="23658359"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第九条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法制审核部门对拟作出的重大行政执法决定从以下几个方面进行审核：</w:t>
      </w:r>
    </w:p>
    <w:p w14:paraId="086CB139"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（一）行政执法机关主体是否合法，行政执法人员是否具备执法资格；</w:t>
      </w:r>
    </w:p>
    <w:p w14:paraId="4CD77A8C"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（二）主要事实是否清楚，证据是否确凿、充分；</w:t>
      </w:r>
    </w:p>
    <w:p w14:paraId="01853876"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（三）适用法律、法规、规章是否准确，执行裁量基准是否适当；</w:t>
      </w:r>
    </w:p>
    <w:p w14:paraId="6ED3B40C"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（四）执法程序是否合法；</w:t>
      </w:r>
    </w:p>
    <w:p w14:paraId="4AAF1E81"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（五）是否有超越本机关职权范围或滥用职权的情形；</w:t>
      </w:r>
    </w:p>
    <w:p w14:paraId="3B3220B1"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（六）行政执法文书是否规范、齐备；</w:t>
      </w:r>
    </w:p>
    <w:p w14:paraId="0D1CFA60"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（七）需要进行审核的其他内容。</w:t>
      </w:r>
    </w:p>
    <w:p w14:paraId="2BBDE0B6"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第十条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法制审核部门在审核过程中，有权调阅行政执法活动相关材料；必要时也可以向当事人进行调查，相关单位和个人应当予以协助配合。</w:t>
      </w:r>
    </w:p>
    <w:p w14:paraId="2E62638F"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第十一条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法制审核部门对拟作出的重大行政执法决定进行审核后，根据不同情况，提出相应的书面意见或建议：</w:t>
      </w:r>
    </w:p>
    <w:p w14:paraId="0F923CB2"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（一）行政执法主体和执法人员具备资格，适用法律、法规、规章准确，执行裁量基准适当，事实清楚、证据确凿、定性准确、程序合法、执法文书规范的，提出同意的行政执法决定的建议；</w:t>
      </w:r>
    </w:p>
    <w:p w14:paraId="782F20AC"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lastRenderedPageBreak/>
        <w:t>（二）行政行为不能成立的，提出不同</w:t>
      </w:r>
      <w:proofErr w:type="gramStart"/>
      <w:r w:rsidRPr="00537D7B">
        <w:rPr>
          <w:rFonts w:ascii="仿宋_GB2312" w:eastAsia="仿宋_GB2312" w:hAnsi="PingFangSC-Regular" w:cs="宋体" w:hint="eastAsia"/>
          <w:color w:val="444444"/>
          <w:kern w:val="0"/>
          <w:sz w:val="32"/>
          <w:szCs w:val="32"/>
        </w:rPr>
        <w:t>意下发行政</w:t>
      </w:r>
      <w:proofErr w:type="gramEnd"/>
      <w:r w:rsidRPr="00537D7B">
        <w:rPr>
          <w:rFonts w:ascii="仿宋_GB2312" w:eastAsia="仿宋_GB2312" w:hAnsi="PingFangSC-Regular" w:cs="宋体" w:hint="eastAsia"/>
          <w:color w:val="444444"/>
          <w:kern w:val="0"/>
          <w:sz w:val="32"/>
          <w:szCs w:val="32"/>
        </w:rPr>
        <w:t>执法决定的建议；</w:t>
      </w:r>
    </w:p>
    <w:p w14:paraId="43056689"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（三）定性不准，或适用法律、法规、规章不准确和裁量基准不当的，提出变更的行政执法决定的建议；</w:t>
      </w:r>
    </w:p>
    <w:p w14:paraId="413B7FF1"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（四）程序违法的，提出纠正的行政执法决定的建议；</w:t>
      </w:r>
    </w:p>
    <w:p w14:paraId="22A82927"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（五）事实不清、证据不足、执法文书不规范的，提出退回补充的行政执法决定的建议。</w:t>
      </w:r>
    </w:p>
    <w:p w14:paraId="283F8686" w14:textId="77777777"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仿宋_GB2312" w:eastAsia="仿宋_GB2312" w:hAnsi="PingFangSC-Regular" w:cs="宋体" w:hint="eastAsia"/>
          <w:color w:val="444444"/>
          <w:kern w:val="0"/>
          <w:sz w:val="32"/>
          <w:szCs w:val="32"/>
        </w:rPr>
        <w:t>（六）超出本机关管辖范围，提出移送的行政执法决定的建议。</w:t>
      </w:r>
    </w:p>
    <w:p w14:paraId="281895DA" w14:textId="53483795"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第十二条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法制审核部门在5个工作日内完成合法性审核工作。重大行政执法决定经法制审核部门审核后，应提交局长办公会集体讨论决定。</w:t>
      </w:r>
      <w:r w:rsidRPr="00537D7B">
        <w:rPr>
          <w:rFonts w:ascii="仿宋_GB2312" w:eastAsia="仿宋_GB2312" w:hAnsi="PingFangSC-Regular" w:cs="宋体" w:hint="eastAsia"/>
          <w:color w:val="444444"/>
          <w:kern w:val="0"/>
          <w:sz w:val="32"/>
          <w:szCs w:val="32"/>
        </w:rPr>
        <w:br/>
      </w:r>
      <w:r w:rsidRPr="00537D7B">
        <w:rPr>
          <w:rFonts w:ascii="仿宋_GB2312" w:eastAsia="仿宋_GB2312" w:hAnsi="PingFangSC-Regular" w:cs="宋体" w:hint="eastAsia"/>
          <w:color w:val="444444"/>
          <w:kern w:val="0"/>
          <w:sz w:val="32"/>
          <w:szCs w:val="32"/>
        </w:rPr>
        <w:t>    </w:t>
      </w:r>
      <w:r w:rsidRPr="00537D7B">
        <w:rPr>
          <w:rFonts w:ascii="黑体" w:eastAsia="黑体" w:hAnsi="黑体" w:cs="宋体" w:hint="eastAsia"/>
          <w:color w:val="444444"/>
          <w:kern w:val="0"/>
          <w:sz w:val="32"/>
          <w:szCs w:val="32"/>
        </w:rPr>
        <w:t>第十三条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重大行政执法决定通过前，如有必要可听取局法律顾问对重大行政执法决定的意见；属于重大行政执法决策事项的应按照《大连市重大行政决策社会稳定风险评估办法》进行社会稳定风险评估。</w:t>
      </w:r>
    </w:p>
    <w:p w14:paraId="5239977F" w14:textId="3E692EAD"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第十四条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重大行政执法决定通过后，如需履行备案程序承办机构应及时将执法决定文书报</w:t>
      </w:r>
      <w:r w:rsidR="000F6444">
        <w:rPr>
          <w:rFonts w:ascii="仿宋_GB2312" w:eastAsia="仿宋_GB2312" w:hAnsi="PingFangSC-Regular" w:cs="宋体" w:hint="eastAsia"/>
          <w:color w:val="444444"/>
          <w:kern w:val="0"/>
          <w:sz w:val="32"/>
          <w:szCs w:val="32"/>
        </w:rPr>
        <w:t>区</w:t>
      </w:r>
      <w:r w:rsidRPr="00537D7B">
        <w:rPr>
          <w:rFonts w:ascii="仿宋_GB2312" w:eastAsia="仿宋_GB2312" w:hAnsi="PingFangSC-Regular" w:cs="宋体" w:hint="eastAsia"/>
          <w:color w:val="444444"/>
          <w:kern w:val="0"/>
          <w:sz w:val="32"/>
          <w:szCs w:val="32"/>
        </w:rPr>
        <w:t>法制审核部门备案。</w:t>
      </w:r>
    </w:p>
    <w:p w14:paraId="0675D209" w14:textId="01AAA6AB" w:rsidR="00537D7B" w:rsidRPr="00537D7B" w:rsidRDefault="00537D7B" w:rsidP="0064102A">
      <w:pPr>
        <w:spacing w:line="540" w:lineRule="exact"/>
        <w:ind w:firstLine="640"/>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第十五条</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执法机构的工作人员、法制审核部门审核人员以及</w:t>
      </w:r>
      <w:proofErr w:type="gramStart"/>
      <w:r w:rsidRPr="00537D7B">
        <w:rPr>
          <w:rFonts w:ascii="仿宋_GB2312" w:eastAsia="仿宋_GB2312" w:hAnsi="PingFangSC-Regular" w:cs="宋体" w:hint="eastAsia"/>
          <w:color w:val="444444"/>
          <w:kern w:val="0"/>
          <w:sz w:val="32"/>
          <w:szCs w:val="32"/>
        </w:rPr>
        <w:t>作出</w:t>
      </w:r>
      <w:proofErr w:type="gramEnd"/>
      <w:r w:rsidRPr="00537D7B">
        <w:rPr>
          <w:rFonts w:ascii="仿宋_GB2312" w:eastAsia="仿宋_GB2312" w:hAnsi="PingFangSC-Regular" w:cs="宋体" w:hint="eastAsia"/>
          <w:color w:val="444444"/>
          <w:kern w:val="0"/>
          <w:sz w:val="32"/>
          <w:szCs w:val="32"/>
        </w:rPr>
        <w:t>行政执法决定负责人因不履行或者不正确履行本办法规定职责，导致重大行政执法决定错误、造成严重后果的，依法追究相关人员的责任。</w:t>
      </w:r>
    </w:p>
    <w:p w14:paraId="71075026" w14:textId="77777777" w:rsidR="00537D7B" w:rsidRPr="00537D7B" w:rsidRDefault="00537D7B" w:rsidP="0064102A">
      <w:pPr>
        <w:spacing w:line="540" w:lineRule="exact"/>
        <w:ind w:firstLine="640"/>
        <w:jc w:val="left"/>
        <w:rPr>
          <w:rFonts w:ascii="PingFangSC-Regular" w:eastAsia="宋体" w:hAnsi="PingFangSC-Regular" w:cs="宋体"/>
          <w:color w:val="444444"/>
          <w:kern w:val="0"/>
          <w:sz w:val="24"/>
          <w:szCs w:val="24"/>
        </w:rPr>
      </w:pPr>
      <w:r w:rsidRPr="00537D7B">
        <w:rPr>
          <w:rFonts w:ascii="黑体" w:eastAsia="黑体" w:hAnsi="黑体" w:cs="宋体" w:hint="eastAsia"/>
          <w:color w:val="444444"/>
          <w:kern w:val="0"/>
          <w:sz w:val="32"/>
          <w:szCs w:val="32"/>
        </w:rPr>
        <w:t>第十六条</w:t>
      </w:r>
      <w:r w:rsidRPr="00537D7B">
        <w:rPr>
          <w:rFonts w:ascii="仿宋_GB2312" w:eastAsia="仿宋_GB2312" w:hAnsi="PingFangSC-Regular" w:cs="宋体" w:hint="eastAsia"/>
          <w:color w:val="444444"/>
          <w:kern w:val="0"/>
          <w:sz w:val="32"/>
          <w:szCs w:val="32"/>
        </w:rPr>
        <w:t> </w:t>
      </w:r>
      <w:r w:rsidRPr="00537D7B">
        <w:rPr>
          <w:rFonts w:ascii="Calibri" w:eastAsia="黑体" w:hAnsi="Calibri" w:cs="Calibri"/>
          <w:color w:val="444444"/>
          <w:kern w:val="0"/>
          <w:sz w:val="32"/>
          <w:szCs w:val="32"/>
        </w:rPr>
        <w:t> </w:t>
      </w:r>
      <w:r w:rsidRPr="00537D7B">
        <w:rPr>
          <w:rFonts w:ascii="仿宋_GB2312" w:eastAsia="仿宋_GB2312" w:hAnsi="PingFangSC-Regular" w:cs="宋体" w:hint="eastAsia"/>
          <w:color w:val="444444"/>
          <w:kern w:val="0"/>
          <w:sz w:val="32"/>
          <w:szCs w:val="32"/>
        </w:rPr>
        <w:t>本办法自印发之日起施行。</w:t>
      </w:r>
    </w:p>
    <w:p w14:paraId="7C174363" w14:textId="77777777" w:rsidR="0035048E" w:rsidRPr="00537D7B" w:rsidRDefault="0035048E" w:rsidP="0064102A">
      <w:pPr>
        <w:spacing w:line="540" w:lineRule="exact"/>
      </w:pPr>
    </w:p>
    <w:sectPr w:rsidR="0035048E" w:rsidRPr="00537D7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F5014" w14:textId="77777777" w:rsidR="00152E3E" w:rsidRDefault="00152E3E" w:rsidP="00537D7B">
      <w:pPr>
        <w:spacing w:line="240" w:lineRule="auto"/>
      </w:pPr>
      <w:r>
        <w:separator/>
      </w:r>
    </w:p>
  </w:endnote>
  <w:endnote w:type="continuationSeparator" w:id="0">
    <w:p w14:paraId="0711F570" w14:textId="77777777" w:rsidR="00152E3E" w:rsidRDefault="00152E3E" w:rsidP="00537D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PingFangSC-Regular">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158061"/>
      <w:docPartObj>
        <w:docPartGallery w:val="Page Numbers (Bottom of Page)"/>
        <w:docPartUnique/>
      </w:docPartObj>
    </w:sdtPr>
    <w:sdtContent>
      <w:p w14:paraId="2B57F7A8" w14:textId="5CCA76A7" w:rsidR="00537D7B" w:rsidRDefault="00537D7B">
        <w:pPr>
          <w:pStyle w:val="a5"/>
          <w:jc w:val="center"/>
        </w:pPr>
        <w:r>
          <w:fldChar w:fldCharType="begin"/>
        </w:r>
        <w:r>
          <w:instrText>PAGE   \* MERGEFORMAT</w:instrText>
        </w:r>
        <w:r>
          <w:fldChar w:fldCharType="separate"/>
        </w:r>
        <w:r>
          <w:rPr>
            <w:lang w:val="zh-CN"/>
          </w:rPr>
          <w:t>2</w:t>
        </w:r>
        <w:r>
          <w:fldChar w:fldCharType="end"/>
        </w:r>
      </w:p>
    </w:sdtContent>
  </w:sdt>
  <w:p w14:paraId="59664950" w14:textId="77777777" w:rsidR="00537D7B" w:rsidRDefault="00537D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419ED" w14:textId="77777777" w:rsidR="00152E3E" w:rsidRDefault="00152E3E" w:rsidP="00537D7B">
      <w:pPr>
        <w:spacing w:line="240" w:lineRule="auto"/>
      </w:pPr>
      <w:r>
        <w:separator/>
      </w:r>
    </w:p>
  </w:footnote>
  <w:footnote w:type="continuationSeparator" w:id="0">
    <w:p w14:paraId="15712232" w14:textId="77777777" w:rsidR="00152E3E" w:rsidRDefault="00152E3E" w:rsidP="00537D7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9F"/>
    <w:rsid w:val="000F6444"/>
    <w:rsid w:val="00152E3E"/>
    <w:rsid w:val="00285130"/>
    <w:rsid w:val="0035048E"/>
    <w:rsid w:val="00537D7B"/>
    <w:rsid w:val="0064102A"/>
    <w:rsid w:val="00802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06125"/>
  <w15:chartTrackingRefBased/>
  <w15:docId w15:val="{705C2FBF-62A9-4916-8A43-3F14A474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spacing w:line="5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D7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537D7B"/>
    <w:rPr>
      <w:sz w:val="18"/>
      <w:szCs w:val="18"/>
    </w:rPr>
  </w:style>
  <w:style w:type="paragraph" w:styleId="a5">
    <w:name w:val="footer"/>
    <w:basedOn w:val="a"/>
    <w:link w:val="a6"/>
    <w:uiPriority w:val="99"/>
    <w:unhideWhenUsed/>
    <w:rsid w:val="00537D7B"/>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537D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131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2021-12-16T06:34:00Z</dcterms:created>
  <dcterms:modified xsi:type="dcterms:W3CDTF">2021-12-16T06:47:00Z</dcterms:modified>
</cp:coreProperties>
</file>