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方正小标宋简体" w:hAnsi="PingFangSC-Regular" w:eastAsia="方正小标宋简体" w:cs="宋体"/>
          <w:color w:val="444444"/>
          <w:kern w:val="0"/>
          <w:sz w:val="44"/>
          <w:szCs w:val="44"/>
        </w:rPr>
      </w:pPr>
      <w:r>
        <w:rPr>
          <w:rFonts w:hint="eastAsia" w:ascii="方正小标宋简体" w:hAnsi="PingFangSC-Regular" w:eastAsia="方正小标宋简体" w:cs="宋体"/>
          <w:color w:val="444444"/>
          <w:kern w:val="0"/>
          <w:sz w:val="44"/>
          <w:szCs w:val="44"/>
        </w:rPr>
        <w:t>大连高新区</w:t>
      </w:r>
      <w:bookmarkStart w:id="0" w:name="_GoBack"/>
      <w:bookmarkEnd w:id="0"/>
      <w:r>
        <w:rPr>
          <w:rFonts w:hint="eastAsia" w:ascii="方正小标宋简体" w:hAnsi="PingFangSC-Regular" w:eastAsia="方正小标宋简体" w:cs="宋体"/>
          <w:color w:val="444444"/>
          <w:kern w:val="0"/>
          <w:sz w:val="44"/>
          <w:szCs w:val="44"/>
          <w:lang w:eastAsia="zh-CN"/>
        </w:rPr>
        <w:t>教育文体</w:t>
      </w:r>
      <w:r>
        <w:rPr>
          <w:rFonts w:hint="eastAsia" w:ascii="方正小标宋简体" w:hAnsi="PingFangSC-Regular" w:eastAsia="方正小标宋简体" w:cs="宋体"/>
          <w:color w:val="444444"/>
          <w:kern w:val="0"/>
          <w:sz w:val="44"/>
          <w:szCs w:val="44"/>
        </w:rPr>
        <w:t>局</w:t>
      </w:r>
    </w:p>
    <w:p>
      <w:pPr>
        <w:spacing w:line="540" w:lineRule="exact"/>
        <w:jc w:val="center"/>
        <w:rPr>
          <w:rFonts w:ascii="PingFangSC-Regular" w:hAnsi="PingFangSC-Regular" w:eastAsia="宋体" w:cs="宋体"/>
          <w:color w:val="444444"/>
          <w:kern w:val="0"/>
          <w:sz w:val="24"/>
          <w:szCs w:val="24"/>
        </w:rPr>
      </w:pPr>
      <w:r>
        <w:rPr>
          <w:rFonts w:hint="eastAsia" w:ascii="方正小标宋简体" w:hAnsi="PingFangSC-Regular" w:eastAsia="方正小标宋简体" w:cs="宋体"/>
          <w:color w:val="444444"/>
          <w:kern w:val="0"/>
          <w:sz w:val="44"/>
          <w:szCs w:val="44"/>
        </w:rPr>
        <w:t>重大行政执法决定法制审核办法</w:t>
      </w:r>
    </w:p>
    <w:p>
      <w:pPr>
        <w:spacing w:line="540" w:lineRule="exact"/>
        <w:rPr>
          <w:rFonts w:ascii="PingFangSC-Regular" w:hAnsi="PingFangSC-Regular" w:eastAsia="宋体" w:cs="宋体"/>
          <w:color w:val="444444"/>
          <w:kern w:val="0"/>
          <w:sz w:val="24"/>
          <w:szCs w:val="24"/>
        </w:rPr>
      </w:pPr>
      <w:r>
        <w:rPr>
          <w:rFonts w:ascii="Calibri" w:hAnsi="Calibri" w:eastAsia="黑体" w:cs="Calibri"/>
          <w:color w:val="444444"/>
          <w:kern w:val="0"/>
          <w:sz w:val="32"/>
          <w:szCs w:val="32"/>
        </w:rPr>
        <w:t> </w:t>
      </w:r>
    </w:p>
    <w:p>
      <w:pPr>
        <w:spacing w:line="540" w:lineRule="exact"/>
        <w:rPr>
          <w:rFonts w:ascii="PingFangSC-Regular" w:hAnsi="PingFangSC-Regular" w:eastAsia="宋体" w:cs="宋体"/>
          <w:color w:val="444444"/>
          <w:kern w:val="0"/>
          <w:sz w:val="24"/>
          <w:szCs w:val="24"/>
        </w:rPr>
      </w:pPr>
      <w:r>
        <w:rPr>
          <w:rFonts w:ascii="Calibri" w:hAnsi="Calibri" w:eastAsia="黑体" w:cs="Calibri"/>
          <w:color w:val="444444"/>
          <w:kern w:val="0"/>
          <w:sz w:val="32"/>
          <w:szCs w:val="32"/>
        </w:rPr>
        <w:t xml:space="preserve">      </w:t>
      </w:r>
      <w:r>
        <w:rPr>
          <w:rFonts w:hint="eastAsia" w:ascii="黑体" w:hAnsi="黑体" w:eastAsia="黑体" w:cs="宋体"/>
          <w:color w:val="444444"/>
          <w:kern w:val="0"/>
          <w:sz w:val="32"/>
          <w:szCs w:val="32"/>
        </w:rPr>
        <w:t>第一条</w:t>
      </w:r>
      <w:r>
        <w:rPr>
          <w:rFonts w:ascii="Calibri" w:hAnsi="Calibri" w:eastAsia="黑体" w:cs="Calibri"/>
          <w:color w:val="444444"/>
          <w:kern w:val="0"/>
          <w:sz w:val="32"/>
          <w:szCs w:val="32"/>
        </w:rPr>
        <w:t> </w:t>
      </w:r>
      <w:r>
        <w:rPr>
          <w:rFonts w:hint="eastAsia" w:ascii="仿宋_GB2312" w:hAnsi="PingFangSC-Regular" w:eastAsia="仿宋_GB2312" w:cs="宋体"/>
          <w:color w:val="444444"/>
          <w:kern w:val="0"/>
          <w:sz w:val="32"/>
          <w:szCs w:val="32"/>
        </w:rPr>
        <w:t>为加强对</w:t>
      </w:r>
      <w:r>
        <w:rPr>
          <w:rFonts w:hint="eastAsia" w:ascii="仿宋_GB2312" w:hAnsi="PingFangSC-Regular" w:eastAsia="仿宋_GB2312" w:cs="宋体"/>
          <w:color w:val="444444"/>
          <w:kern w:val="0"/>
          <w:sz w:val="32"/>
          <w:szCs w:val="32"/>
          <w:lang w:eastAsia="zh-CN"/>
        </w:rPr>
        <w:t>教育文体</w:t>
      </w:r>
      <w:r>
        <w:rPr>
          <w:rFonts w:hint="eastAsia" w:ascii="仿宋_GB2312" w:hAnsi="PingFangSC-Regular" w:eastAsia="仿宋_GB2312" w:cs="宋体"/>
          <w:color w:val="444444"/>
          <w:kern w:val="0"/>
          <w:sz w:val="32"/>
          <w:szCs w:val="32"/>
        </w:rPr>
        <w:t>局重大行政执法行为的监督，保护公民、法人和非法人组织的合法权益，促进依法行政，根据有关法律、法规、规章的规定和《大连市重大行政执法决定法制审核规定》，结合本单位工作实际，制定本办法。</w:t>
      </w:r>
    </w:p>
    <w:p>
      <w:pPr>
        <w:spacing w:line="540" w:lineRule="exact"/>
        <w:ind w:firstLine="640"/>
        <w:rPr>
          <w:rFonts w:ascii="PingFangSC-Regular" w:hAnsi="PingFangSC-Regular" w:eastAsia="宋体" w:cs="宋体"/>
          <w:color w:val="444444"/>
          <w:kern w:val="0"/>
          <w:sz w:val="24"/>
          <w:szCs w:val="24"/>
        </w:rPr>
      </w:pPr>
      <w:r>
        <w:rPr>
          <w:rFonts w:hint="eastAsia" w:ascii="黑体" w:hAnsi="黑体" w:eastAsia="黑体" w:cs="宋体"/>
          <w:color w:val="444444"/>
          <w:kern w:val="0"/>
          <w:sz w:val="32"/>
          <w:szCs w:val="32"/>
        </w:rPr>
        <w:t>第二条</w:t>
      </w:r>
      <w:r>
        <w:rPr>
          <w:rFonts w:ascii="Calibri" w:hAnsi="Calibri" w:eastAsia="黑体" w:cs="Calibri"/>
          <w:color w:val="444444"/>
          <w:kern w:val="0"/>
          <w:sz w:val="32"/>
          <w:szCs w:val="32"/>
        </w:rPr>
        <w:t> </w:t>
      </w:r>
      <w:r>
        <w:rPr>
          <w:rFonts w:hint="eastAsia" w:ascii="仿宋_GB2312" w:hAnsi="PingFangSC-Regular" w:eastAsia="仿宋_GB2312" w:cs="宋体"/>
          <w:color w:val="444444"/>
          <w:kern w:val="0"/>
          <w:sz w:val="32"/>
          <w:szCs w:val="32"/>
        </w:rPr>
        <w:t>本办法所称重大行政执法决定法制审核，是指</w:t>
      </w:r>
      <w:r>
        <w:rPr>
          <w:rFonts w:hint="eastAsia" w:ascii="仿宋_GB2312" w:hAnsi="PingFangSC-Regular" w:eastAsia="仿宋_GB2312" w:cs="宋体"/>
          <w:color w:val="444444"/>
          <w:kern w:val="0"/>
          <w:sz w:val="32"/>
          <w:szCs w:val="32"/>
          <w:lang w:eastAsia="zh-CN"/>
        </w:rPr>
        <w:t>教育文体</w:t>
      </w:r>
      <w:r>
        <w:rPr>
          <w:rFonts w:hint="eastAsia" w:ascii="仿宋_GB2312" w:hAnsi="PingFangSC-Regular" w:eastAsia="仿宋_GB2312" w:cs="宋体"/>
          <w:color w:val="444444"/>
          <w:kern w:val="0"/>
          <w:sz w:val="32"/>
          <w:szCs w:val="32"/>
        </w:rPr>
        <w:t>局及其依法委托的从事行政执法活动的部门和组织在作出重大行政执法决定之前，由局负责法制工作的机构或人员（以下统称法制审核部门）对其合法性、合理性进行审核的活动。</w:t>
      </w:r>
    </w:p>
    <w:p>
      <w:pPr>
        <w:spacing w:line="540" w:lineRule="exact"/>
        <w:ind w:firstLine="640"/>
        <w:rPr>
          <w:rFonts w:ascii="PingFangSC-Regular" w:hAnsi="PingFangSC-Regular" w:eastAsia="宋体" w:cs="宋体"/>
          <w:color w:val="444444"/>
          <w:kern w:val="0"/>
          <w:sz w:val="24"/>
          <w:szCs w:val="24"/>
        </w:rPr>
      </w:pPr>
      <w:r>
        <w:rPr>
          <w:rFonts w:hint="eastAsia" w:ascii="黑体" w:hAnsi="黑体" w:eastAsia="黑体" w:cs="宋体"/>
          <w:color w:val="444444"/>
          <w:kern w:val="0"/>
          <w:sz w:val="32"/>
          <w:szCs w:val="32"/>
        </w:rPr>
        <w:t>第三条</w:t>
      </w:r>
      <w:r>
        <w:rPr>
          <w:rFonts w:ascii="Calibri" w:hAnsi="Calibri" w:eastAsia="黑体" w:cs="Calibri"/>
          <w:color w:val="444444"/>
          <w:kern w:val="0"/>
          <w:sz w:val="32"/>
          <w:szCs w:val="32"/>
        </w:rPr>
        <w:t> </w:t>
      </w:r>
      <w:r>
        <w:rPr>
          <w:rFonts w:hint="eastAsia" w:ascii="仿宋_GB2312" w:hAnsi="PingFangSC-Regular" w:eastAsia="仿宋_GB2312" w:cs="宋体"/>
          <w:color w:val="444444"/>
          <w:kern w:val="0"/>
          <w:sz w:val="32"/>
          <w:szCs w:val="32"/>
        </w:rPr>
        <w:t>重大行政执法决定作出前须经法制审核。未经法制审核或者审核未通过的，不得作出重大行政执法决定。</w:t>
      </w:r>
    </w:p>
    <w:p>
      <w:pPr>
        <w:spacing w:line="540" w:lineRule="exact"/>
        <w:ind w:firstLine="640"/>
        <w:rPr>
          <w:rFonts w:ascii="PingFangSC-Regular" w:hAnsi="PingFangSC-Regular" w:eastAsia="宋体" w:cs="宋体"/>
          <w:color w:val="444444"/>
          <w:kern w:val="0"/>
          <w:sz w:val="24"/>
          <w:szCs w:val="24"/>
        </w:rPr>
      </w:pPr>
      <w:r>
        <w:rPr>
          <w:rFonts w:hint="eastAsia" w:ascii="黑体" w:hAnsi="黑体" w:eastAsia="黑体" w:cs="宋体"/>
          <w:color w:val="444444"/>
          <w:kern w:val="0"/>
          <w:sz w:val="32"/>
          <w:szCs w:val="32"/>
        </w:rPr>
        <w:t>第四条</w:t>
      </w:r>
      <w:r>
        <w:rPr>
          <w:rFonts w:ascii="Calibri" w:hAnsi="Calibri" w:eastAsia="黑体" w:cs="Calibri"/>
          <w:color w:val="444444"/>
          <w:kern w:val="0"/>
          <w:sz w:val="32"/>
          <w:szCs w:val="32"/>
        </w:rPr>
        <w:t> </w:t>
      </w:r>
      <w:r>
        <w:rPr>
          <w:rFonts w:hint="eastAsia" w:ascii="仿宋_GB2312" w:hAnsi="PingFangSC-Regular" w:eastAsia="仿宋_GB2312" w:cs="宋体"/>
          <w:color w:val="444444"/>
          <w:kern w:val="0"/>
          <w:sz w:val="32"/>
          <w:szCs w:val="32"/>
        </w:rPr>
        <w:t>重大行政执法决定法制审核应当遵循合法、公平、公正、及时的原则，坚持有错必纠，保障法律、法规、规章的正确实施。</w:t>
      </w:r>
    </w:p>
    <w:p>
      <w:pPr>
        <w:spacing w:line="540" w:lineRule="exact"/>
        <w:ind w:firstLine="640"/>
        <w:rPr>
          <w:rFonts w:ascii="PingFangSC-Regular" w:hAnsi="PingFangSC-Regular" w:eastAsia="宋体" w:cs="宋体"/>
          <w:color w:val="444444"/>
          <w:kern w:val="0"/>
          <w:sz w:val="24"/>
          <w:szCs w:val="24"/>
        </w:rPr>
      </w:pPr>
      <w:r>
        <w:rPr>
          <w:rFonts w:hint="eastAsia" w:ascii="黑体" w:hAnsi="黑体" w:eastAsia="黑体" w:cs="宋体"/>
          <w:color w:val="444444"/>
          <w:kern w:val="0"/>
          <w:sz w:val="32"/>
          <w:szCs w:val="32"/>
        </w:rPr>
        <w:t>第五条</w:t>
      </w:r>
      <w:r>
        <w:rPr>
          <w:rFonts w:hint="eastAsia" w:ascii="仿宋_GB2312" w:hAnsi="PingFangSC-Regular" w:eastAsia="仿宋_GB2312" w:cs="宋体"/>
          <w:color w:val="444444"/>
          <w:kern w:val="0"/>
          <w:sz w:val="32"/>
          <w:szCs w:val="32"/>
        </w:rPr>
        <w:t> 全局各业务科室应根据本部门职能特点，结合执法类别、执法层级、所属领域、涉案金额以及对当事人、社会的影响等因素，确定行政许可、行政处罚、行政强制等行政执法行为的重大执法决定法制审核范围，编制《重大行政执法决定法制审核目录清单》，并报区法制审核部门备案。</w:t>
      </w:r>
      <w:r>
        <w:rPr>
          <w:rFonts w:ascii="Calibri" w:hAnsi="Calibri" w:eastAsia="黑体" w:cs="Calibri"/>
          <w:color w:val="444444"/>
          <w:kern w:val="0"/>
          <w:sz w:val="32"/>
          <w:szCs w:val="32"/>
        </w:rPr>
        <w:t> </w:t>
      </w:r>
    </w:p>
    <w:p>
      <w:pPr>
        <w:spacing w:line="540" w:lineRule="exact"/>
        <w:ind w:firstLine="640"/>
        <w:rPr>
          <w:rFonts w:ascii="PingFangSC-Regular" w:hAnsi="PingFangSC-Regular" w:eastAsia="宋体" w:cs="宋体"/>
          <w:color w:val="444444"/>
          <w:kern w:val="0"/>
          <w:sz w:val="24"/>
          <w:szCs w:val="24"/>
        </w:rPr>
      </w:pPr>
      <w:r>
        <w:rPr>
          <w:rFonts w:hint="eastAsia" w:ascii="黑体" w:hAnsi="黑体" w:eastAsia="黑体" w:cs="宋体"/>
          <w:color w:val="444444"/>
          <w:kern w:val="0"/>
          <w:sz w:val="32"/>
          <w:szCs w:val="32"/>
        </w:rPr>
        <w:t>第六条</w:t>
      </w:r>
      <w:r>
        <w:rPr>
          <w:rFonts w:ascii="Calibri" w:hAnsi="Calibri" w:eastAsia="黑体" w:cs="Calibri"/>
          <w:color w:val="444444"/>
          <w:kern w:val="0"/>
          <w:sz w:val="32"/>
          <w:szCs w:val="32"/>
        </w:rPr>
        <w:t> </w:t>
      </w:r>
      <w:r>
        <w:rPr>
          <w:rFonts w:hint="eastAsia" w:ascii="仿宋_GB2312" w:hAnsi="PingFangSC-Regular" w:eastAsia="仿宋_GB2312" w:cs="宋体"/>
          <w:color w:val="444444"/>
          <w:kern w:val="0"/>
          <w:sz w:val="32"/>
          <w:szCs w:val="32"/>
        </w:rPr>
        <w:t>执法机构作出下列重大行政执法决定，应当在作出执法决定前进行法制审核。审核的范围既包括《大连市重大行政执法决定法制审核规定》中第五条要求的范围进行法制审核，还应包括：</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（一）对行政相对人处以停止执业、责令停业整顿、吊销执业资格等重大行政处罚决定的； </w:t>
      </w:r>
      <w:r>
        <w:rPr>
          <w:rFonts w:hint="eastAsia" w:ascii="仿宋_GB2312" w:hAnsi="PingFangSC-Regular" w:eastAsia="仿宋_GB2312" w:cs="宋体"/>
          <w:color w:val="444444"/>
          <w:kern w:val="0"/>
          <w:sz w:val="32"/>
          <w:szCs w:val="32"/>
        </w:rPr>
        <w:br w:type="textWrapping"/>
      </w:r>
      <w:r>
        <w:rPr>
          <w:rFonts w:hint="eastAsia" w:ascii="仿宋_GB2312" w:hAnsi="PingFangSC-Regular" w:eastAsia="仿宋_GB2312" w:cs="宋体"/>
          <w:color w:val="444444"/>
          <w:kern w:val="0"/>
          <w:sz w:val="32"/>
          <w:szCs w:val="32"/>
        </w:rPr>
        <w:t>    </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（二）对个人处以罚款、没收违法所得数额超过三千元（含三千元）或对机构处以罚款、没收违法所得数额超过二万元（含二万元）的行政处罚决定； </w:t>
      </w:r>
      <w:r>
        <w:rPr>
          <w:rFonts w:hint="eastAsia" w:ascii="仿宋_GB2312" w:hAnsi="PingFangSC-Regular" w:eastAsia="仿宋_GB2312" w:cs="宋体"/>
          <w:color w:val="444444"/>
          <w:kern w:val="0"/>
          <w:sz w:val="32"/>
          <w:szCs w:val="32"/>
        </w:rPr>
        <w:br w:type="textWrapping"/>
      </w:r>
      <w:r>
        <w:rPr>
          <w:rFonts w:hint="eastAsia" w:ascii="仿宋_GB2312" w:hAnsi="PingFangSC-Regular" w:eastAsia="仿宋_GB2312" w:cs="宋体"/>
          <w:color w:val="444444"/>
          <w:kern w:val="0"/>
          <w:sz w:val="32"/>
          <w:szCs w:val="32"/>
        </w:rPr>
        <w:t>   </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 （三）依职权作出的行政决定可能致使申请人丧失已经取得的执业资格的（执行上级机关做出决定的除外）； </w:t>
      </w:r>
      <w:r>
        <w:rPr>
          <w:rFonts w:hint="eastAsia" w:ascii="仿宋_GB2312" w:hAnsi="PingFangSC-Regular" w:eastAsia="仿宋_GB2312" w:cs="宋体"/>
          <w:color w:val="444444"/>
          <w:kern w:val="0"/>
          <w:sz w:val="32"/>
          <w:szCs w:val="32"/>
        </w:rPr>
        <w:br w:type="textWrapping"/>
      </w:r>
      <w:r>
        <w:rPr>
          <w:rFonts w:hint="eastAsia" w:ascii="仿宋_GB2312" w:hAnsi="PingFangSC-Regular" w:eastAsia="仿宋_GB2312" w:cs="宋体"/>
          <w:color w:val="444444"/>
          <w:kern w:val="0"/>
          <w:sz w:val="32"/>
          <w:szCs w:val="32"/>
        </w:rPr>
        <w:t>    （四）权责、程序、法律理解与适用问题存在较大争议，关系公民、法人或其他组织重大利益的行政执法决定。</w:t>
      </w:r>
    </w:p>
    <w:p>
      <w:pPr>
        <w:spacing w:line="540" w:lineRule="exact"/>
        <w:ind w:firstLine="640"/>
        <w:rPr>
          <w:rFonts w:ascii="PingFangSC-Regular" w:hAnsi="PingFangSC-Regular" w:eastAsia="宋体" w:cs="宋体"/>
          <w:color w:val="444444"/>
          <w:kern w:val="0"/>
          <w:sz w:val="24"/>
          <w:szCs w:val="24"/>
        </w:rPr>
      </w:pPr>
      <w:r>
        <w:rPr>
          <w:rFonts w:hint="eastAsia" w:ascii="黑体" w:hAnsi="黑体" w:eastAsia="黑体" w:cs="宋体"/>
          <w:color w:val="444444"/>
          <w:kern w:val="0"/>
          <w:sz w:val="32"/>
          <w:szCs w:val="32"/>
        </w:rPr>
        <w:t>第七条</w:t>
      </w:r>
      <w:r>
        <w:rPr>
          <w:rFonts w:ascii="Calibri" w:hAnsi="Calibri" w:eastAsia="黑体" w:cs="Calibri"/>
          <w:color w:val="444444"/>
          <w:kern w:val="0"/>
          <w:sz w:val="32"/>
          <w:szCs w:val="32"/>
        </w:rPr>
        <w:t> </w:t>
      </w:r>
      <w:r>
        <w:rPr>
          <w:rFonts w:hint="eastAsia" w:ascii="仿宋_GB2312" w:hAnsi="PingFangSC-Regular" w:eastAsia="仿宋_GB2312" w:cs="宋体"/>
          <w:color w:val="444444"/>
          <w:kern w:val="0"/>
          <w:sz w:val="32"/>
          <w:szCs w:val="32"/>
        </w:rPr>
        <w:t>执法机构在调查终结后，作出行政执法决定前，对符合重大行政执法决定条件的案件，应书面送交法制审核部门审核，并提交以下材料：</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（一）拟作出的重大行政执法决定的调查终结报告；</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（二）拟作出的重大行政执法决定情况说明；</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（三）拟作出的重大行政执法决定书文本；</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（四）相关证据资料和法律依据；</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（五）经听证程序的，应当提交听证笔录；</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（六）经过评估、鉴定程序的，应当提交评估、鉴定报告；</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（七）其他需要提交的材料。</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法制审核部门认为提交材料不齐全的，可以要求承办机构在指定时间内提交。</w:t>
      </w:r>
    </w:p>
    <w:p>
      <w:pPr>
        <w:spacing w:line="540" w:lineRule="exact"/>
        <w:ind w:firstLine="640"/>
        <w:rPr>
          <w:rFonts w:ascii="PingFangSC-Regular" w:hAnsi="PingFangSC-Regular" w:eastAsia="宋体" w:cs="宋体"/>
          <w:color w:val="444444"/>
          <w:kern w:val="0"/>
          <w:sz w:val="24"/>
          <w:szCs w:val="24"/>
        </w:rPr>
      </w:pPr>
      <w:r>
        <w:rPr>
          <w:rFonts w:hint="eastAsia" w:ascii="黑体" w:hAnsi="黑体" w:eastAsia="黑体" w:cs="宋体"/>
          <w:color w:val="444444"/>
          <w:kern w:val="0"/>
          <w:sz w:val="32"/>
          <w:szCs w:val="32"/>
        </w:rPr>
        <w:t>第八条</w:t>
      </w:r>
      <w:r>
        <w:rPr>
          <w:rFonts w:ascii="Calibri" w:hAnsi="Calibri" w:eastAsia="黑体" w:cs="Calibri"/>
          <w:color w:val="444444"/>
          <w:kern w:val="0"/>
          <w:sz w:val="32"/>
          <w:szCs w:val="32"/>
        </w:rPr>
        <w:t> </w:t>
      </w:r>
      <w:r>
        <w:rPr>
          <w:rFonts w:hint="eastAsia" w:ascii="仿宋_GB2312" w:hAnsi="PingFangSC-Regular" w:eastAsia="仿宋_GB2312" w:cs="宋体"/>
          <w:color w:val="444444"/>
          <w:kern w:val="0"/>
          <w:sz w:val="32"/>
          <w:szCs w:val="32"/>
        </w:rPr>
        <w:t>法制审核部门收到执法机构送审的材料后，应当及时进行审查。符合条件的，应当受理；不符合条件的，应当退回执法机构并书面说明理由；对符合条件，但是缺少相关材料的，应当要求执法机构补充，逾期不补充的，退回执法机构。</w:t>
      </w:r>
    </w:p>
    <w:p>
      <w:pPr>
        <w:spacing w:line="540" w:lineRule="exact"/>
        <w:ind w:firstLine="640"/>
        <w:rPr>
          <w:rFonts w:ascii="PingFangSC-Regular" w:hAnsi="PingFangSC-Regular" w:eastAsia="宋体" w:cs="宋体"/>
          <w:color w:val="444444"/>
          <w:kern w:val="0"/>
          <w:sz w:val="24"/>
          <w:szCs w:val="24"/>
        </w:rPr>
      </w:pPr>
      <w:r>
        <w:rPr>
          <w:rFonts w:hint="eastAsia" w:ascii="黑体" w:hAnsi="黑体" w:eastAsia="黑体" w:cs="宋体"/>
          <w:color w:val="444444"/>
          <w:kern w:val="0"/>
          <w:sz w:val="32"/>
          <w:szCs w:val="32"/>
        </w:rPr>
        <w:t>第九条</w:t>
      </w:r>
      <w:r>
        <w:rPr>
          <w:rFonts w:ascii="Calibri" w:hAnsi="Calibri" w:eastAsia="黑体" w:cs="Calibri"/>
          <w:color w:val="444444"/>
          <w:kern w:val="0"/>
          <w:sz w:val="32"/>
          <w:szCs w:val="32"/>
        </w:rPr>
        <w:t> </w:t>
      </w:r>
      <w:r>
        <w:rPr>
          <w:rFonts w:hint="eastAsia" w:ascii="仿宋_GB2312" w:hAnsi="PingFangSC-Regular" w:eastAsia="仿宋_GB2312" w:cs="宋体"/>
          <w:color w:val="444444"/>
          <w:kern w:val="0"/>
          <w:sz w:val="32"/>
          <w:szCs w:val="32"/>
        </w:rPr>
        <w:t>法制审核部门对拟作出的重大行政执法决定从以下几个方面进行审核：</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（一）行政执法机关主体是否合法，行政执法人员是否具备执法资格；</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（二）主要事实是否清楚，证据是否确凿、充分；</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（三）适用法律、法规、规章是否准确，执行裁量基准是否适当；</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（四）执法程序是否合法；</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（五）是否有超越本机关职权范围或滥用职权的情形；</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（六）行政执法文书是否规范、齐备；</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（七）需要进行审核的其他内容。</w:t>
      </w:r>
    </w:p>
    <w:p>
      <w:pPr>
        <w:spacing w:line="540" w:lineRule="exact"/>
        <w:ind w:firstLine="640"/>
        <w:rPr>
          <w:rFonts w:ascii="PingFangSC-Regular" w:hAnsi="PingFangSC-Regular" w:eastAsia="宋体" w:cs="宋体"/>
          <w:color w:val="444444"/>
          <w:kern w:val="0"/>
          <w:sz w:val="24"/>
          <w:szCs w:val="24"/>
        </w:rPr>
      </w:pPr>
      <w:r>
        <w:rPr>
          <w:rFonts w:hint="eastAsia" w:ascii="黑体" w:hAnsi="黑体" w:eastAsia="黑体" w:cs="宋体"/>
          <w:color w:val="444444"/>
          <w:kern w:val="0"/>
          <w:sz w:val="32"/>
          <w:szCs w:val="32"/>
        </w:rPr>
        <w:t>第十条</w:t>
      </w:r>
      <w:r>
        <w:rPr>
          <w:rFonts w:ascii="Calibri" w:hAnsi="Calibri" w:eastAsia="黑体" w:cs="Calibri"/>
          <w:color w:val="444444"/>
          <w:kern w:val="0"/>
          <w:sz w:val="32"/>
          <w:szCs w:val="32"/>
        </w:rPr>
        <w:t> </w:t>
      </w:r>
      <w:r>
        <w:rPr>
          <w:rFonts w:hint="eastAsia" w:ascii="仿宋_GB2312" w:hAnsi="PingFangSC-Regular" w:eastAsia="仿宋_GB2312" w:cs="宋体"/>
          <w:color w:val="444444"/>
          <w:kern w:val="0"/>
          <w:sz w:val="32"/>
          <w:szCs w:val="32"/>
        </w:rPr>
        <w:t>法制审核部门在审核过程中，有权调阅行政执法活动相关材料；必要时也可以向当事人进行调查，相关单位和个人应当予以协助配合。</w:t>
      </w:r>
    </w:p>
    <w:p>
      <w:pPr>
        <w:spacing w:line="540" w:lineRule="exact"/>
        <w:ind w:firstLine="640"/>
        <w:rPr>
          <w:rFonts w:ascii="PingFangSC-Regular" w:hAnsi="PingFangSC-Regular" w:eastAsia="宋体" w:cs="宋体"/>
          <w:color w:val="444444"/>
          <w:kern w:val="0"/>
          <w:sz w:val="24"/>
          <w:szCs w:val="24"/>
        </w:rPr>
      </w:pPr>
      <w:r>
        <w:rPr>
          <w:rFonts w:hint="eastAsia" w:ascii="黑体" w:hAnsi="黑体" w:eastAsia="黑体" w:cs="宋体"/>
          <w:color w:val="444444"/>
          <w:kern w:val="0"/>
          <w:sz w:val="32"/>
          <w:szCs w:val="32"/>
        </w:rPr>
        <w:t>第十一条</w:t>
      </w:r>
      <w:r>
        <w:rPr>
          <w:rFonts w:ascii="Calibri" w:hAnsi="Calibri" w:eastAsia="黑体" w:cs="Calibri"/>
          <w:color w:val="444444"/>
          <w:kern w:val="0"/>
          <w:sz w:val="32"/>
          <w:szCs w:val="32"/>
        </w:rPr>
        <w:t> </w:t>
      </w:r>
      <w:r>
        <w:rPr>
          <w:rFonts w:hint="eastAsia" w:ascii="仿宋_GB2312" w:hAnsi="PingFangSC-Regular" w:eastAsia="仿宋_GB2312" w:cs="宋体"/>
          <w:color w:val="444444"/>
          <w:kern w:val="0"/>
          <w:sz w:val="32"/>
          <w:szCs w:val="32"/>
        </w:rPr>
        <w:t>法制审核部门对拟作出的重大行政执法决定进行审核后，根据不同情况，提出相应的书面意见或建议：</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（一）行政执法主体和执法人员具备资格，适用法律、法规、规章准确，执行裁量基准适当，事实清楚、证据确凿、定性准确、程序合法、执法文书规范的，提出同意的行政执法决定的建议；</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（二）行政行为不能成立的，提出不同意下发行政执法决定的建议；</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（三）定性不准，或适用法律、法规、规章不准确和裁量基准不当的，提出变更的行政执法决定的建议；</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（四）程序违法的，提出纠正的行政执法决定的建议；</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（五）事实不清、证据不足、执法文书不规范的，提出退回补充的行政执法决定的建议。</w:t>
      </w:r>
    </w:p>
    <w:p>
      <w:pPr>
        <w:spacing w:line="540" w:lineRule="exact"/>
        <w:ind w:firstLine="640"/>
        <w:rPr>
          <w:rFonts w:ascii="PingFangSC-Regular" w:hAnsi="PingFangSC-Regular" w:eastAsia="宋体" w:cs="宋体"/>
          <w:color w:val="444444"/>
          <w:kern w:val="0"/>
          <w:sz w:val="24"/>
          <w:szCs w:val="24"/>
        </w:rPr>
      </w:pPr>
      <w:r>
        <w:rPr>
          <w:rFonts w:hint="eastAsia" w:ascii="仿宋_GB2312" w:hAnsi="PingFangSC-Regular" w:eastAsia="仿宋_GB2312" w:cs="宋体"/>
          <w:color w:val="444444"/>
          <w:kern w:val="0"/>
          <w:sz w:val="32"/>
          <w:szCs w:val="32"/>
        </w:rPr>
        <w:t>（六）超出本机关管辖范围，提出移送的行政执法决定的建议。</w:t>
      </w:r>
    </w:p>
    <w:p>
      <w:pPr>
        <w:spacing w:line="540" w:lineRule="exact"/>
        <w:ind w:firstLine="640"/>
        <w:rPr>
          <w:rFonts w:ascii="PingFangSC-Regular" w:hAnsi="PingFangSC-Regular" w:eastAsia="宋体" w:cs="宋体"/>
          <w:color w:val="444444"/>
          <w:kern w:val="0"/>
          <w:sz w:val="24"/>
          <w:szCs w:val="24"/>
        </w:rPr>
      </w:pPr>
      <w:r>
        <w:rPr>
          <w:rFonts w:hint="eastAsia" w:ascii="黑体" w:hAnsi="黑体" w:eastAsia="黑体" w:cs="宋体"/>
          <w:color w:val="444444"/>
          <w:kern w:val="0"/>
          <w:sz w:val="32"/>
          <w:szCs w:val="32"/>
        </w:rPr>
        <w:t>第十二条</w:t>
      </w:r>
      <w:r>
        <w:rPr>
          <w:rFonts w:ascii="Calibri" w:hAnsi="Calibri" w:eastAsia="黑体" w:cs="Calibri"/>
          <w:color w:val="444444"/>
          <w:kern w:val="0"/>
          <w:sz w:val="32"/>
          <w:szCs w:val="32"/>
        </w:rPr>
        <w:t> </w:t>
      </w:r>
      <w:r>
        <w:rPr>
          <w:rFonts w:hint="eastAsia" w:ascii="仿宋_GB2312" w:hAnsi="PingFangSC-Regular" w:eastAsia="仿宋_GB2312" w:cs="宋体"/>
          <w:color w:val="444444"/>
          <w:kern w:val="0"/>
          <w:sz w:val="32"/>
          <w:szCs w:val="32"/>
        </w:rPr>
        <w:t>法制审核部门在5个工作日内完成合法性审核工作。重大行政执法决定经法制审核部门审核后，应提交局长办公会集体讨论决定。</w:t>
      </w:r>
      <w:r>
        <w:rPr>
          <w:rFonts w:hint="eastAsia" w:ascii="仿宋_GB2312" w:hAnsi="PingFangSC-Regular" w:eastAsia="仿宋_GB2312" w:cs="宋体"/>
          <w:color w:val="444444"/>
          <w:kern w:val="0"/>
          <w:sz w:val="32"/>
          <w:szCs w:val="32"/>
        </w:rPr>
        <w:br w:type="textWrapping"/>
      </w:r>
      <w:r>
        <w:rPr>
          <w:rFonts w:hint="eastAsia" w:ascii="仿宋_GB2312" w:hAnsi="PingFangSC-Regular" w:eastAsia="仿宋_GB2312" w:cs="宋体"/>
          <w:color w:val="444444"/>
          <w:kern w:val="0"/>
          <w:sz w:val="32"/>
          <w:szCs w:val="32"/>
        </w:rPr>
        <w:t>    </w:t>
      </w:r>
      <w:r>
        <w:rPr>
          <w:rFonts w:hint="eastAsia" w:ascii="黑体" w:hAnsi="黑体" w:eastAsia="黑体" w:cs="宋体"/>
          <w:color w:val="444444"/>
          <w:kern w:val="0"/>
          <w:sz w:val="32"/>
          <w:szCs w:val="32"/>
        </w:rPr>
        <w:t>第十三条</w:t>
      </w:r>
      <w:r>
        <w:rPr>
          <w:rFonts w:ascii="Calibri" w:hAnsi="Calibri" w:eastAsia="黑体" w:cs="Calibri"/>
          <w:color w:val="444444"/>
          <w:kern w:val="0"/>
          <w:sz w:val="32"/>
          <w:szCs w:val="32"/>
        </w:rPr>
        <w:t> </w:t>
      </w:r>
      <w:r>
        <w:rPr>
          <w:rFonts w:hint="eastAsia" w:ascii="仿宋_GB2312" w:hAnsi="PingFangSC-Regular" w:eastAsia="仿宋_GB2312" w:cs="宋体"/>
          <w:color w:val="444444"/>
          <w:kern w:val="0"/>
          <w:sz w:val="32"/>
          <w:szCs w:val="32"/>
        </w:rPr>
        <w:t>重大行政执法决定通过前，如有必要可听取局法律顾问对重大行政执法决定的意见；属于重大行政执法决策事项的应按照《大连市重大行政决策社会稳定风险评估办法》进行社会稳定风险评估。</w:t>
      </w:r>
    </w:p>
    <w:p>
      <w:pPr>
        <w:spacing w:line="540" w:lineRule="exact"/>
        <w:ind w:firstLine="640"/>
        <w:rPr>
          <w:rFonts w:ascii="PingFangSC-Regular" w:hAnsi="PingFangSC-Regular" w:eastAsia="宋体" w:cs="宋体"/>
          <w:color w:val="444444"/>
          <w:kern w:val="0"/>
          <w:sz w:val="24"/>
          <w:szCs w:val="24"/>
        </w:rPr>
      </w:pPr>
      <w:r>
        <w:rPr>
          <w:rFonts w:hint="eastAsia" w:ascii="黑体" w:hAnsi="黑体" w:eastAsia="黑体" w:cs="宋体"/>
          <w:color w:val="444444"/>
          <w:kern w:val="0"/>
          <w:sz w:val="32"/>
          <w:szCs w:val="32"/>
        </w:rPr>
        <w:t>第十四条</w:t>
      </w:r>
      <w:r>
        <w:rPr>
          <w:rFonts w:ascii="Calibri" w:hAnsi="Calibri" w:eastAsia="黑体" w:cs="Calibri"/>
          <w:color w:val="444444"/>
          <w:kern w:val="0"/>
          <w:sz w:val="32"/>
          <w:szCs w:val="32"/>
        </w:rPr>
        <w:t> </w:t>
      </w:r>
      <w:r>
        <w:rPr>
          <w:rFonts w:hint="eastAsia" w:ascii="仿宋_GB2312" w:hAnsi="PingFangSC-Regular" w:eastAsia="仿宋_GB2312" w:cs="宋体"/>
          <w:color w:val="444444"/>
          <w:kern w:val="0"/>
          <w:sz w:val="32"/>
          <w:szCs w:val="32"/>
        </w:rPr>
        <w:t>重大行政执法决定通过后，如需履行备案程序承办机构应及时将执法决定文书报区法制审核部门备案。</w:t>
      </w:r>
    </w:p>
    <w:p>
      <w:pPr>
        <w:spacing w:line="540" w:lineRule="exact"/>
        <w:ind w:firstLine="640"/>
        <w:rPr>
          <w:rFonts w:ascii="PingFangSC-Regular" w:hAnsi="PingFangSC-Regular" w:eastAsia="宋体" w:cs="宋体"/>
          <w:color w:val="444444"/>
          <w:kern w:val="0"/>
          <w:sz w:val="24"/>
          <w:szCs w:val="24"/>
        </w:rPr>
      </w:pPr>
      <w:r>
        <w:rPr>
          <w:rFonts w:hint="eastAsia" w:ascii="黑体" w:hAnsi="黑体" w:eastAsia="黑体" w:cs="宋体"/>
          <w:color w:val="444444"/>
          <w:kern w:val="0"/>
          <w:sz w:val="32"/>
          <w:szCs w:val="32"/>
        </w:rPr>
        <w:t>第十五条</w:t>
      </w:r>
      <w:r>
        <w:rPr>
          <w:rFonts w:ascii="Calibri" w:hAnsi="Calibri" w:eastAsia="黑体" w:cs="Calibri"/>
          <w:color w:val="444444"/>
          <w:kern w:val="0"/>
          <w:sz w:val="32"/>
          <w:szCs w:val="32"/>
        </w:rPr>
        <w:t> </w:t>
      </w:r>
      <w:r>
        <w:rPr>
          <w:rFonts w:hint="eastAsia" w:ascii="仿宋_GB2312" w:hAnsi="PingFangSC-Regular" w:eastAsia="仿宋_GB2312" w:cs="宋体"/>
          <w:color w:val="444444"/>
          <w:kern w:val="0"/>
          <w:sz w:val="32"/>
          <w:szCs w:val="32"/>
        </w:rPr>
        <w:t>执法机构的工作人员、法制审核部门审核人员以及作出行政执法决定负责人因不履行或者不正确履行本办法规定职责，导致重大行政执法决定错误、造成严重后果的，依法追究相关人员的责任。</w:t>
      </w:r>
    </w:p>
    <w:p>
      <w:pPr>
        <w:spacing w:line="540" w:lineRule="exact"/>
        <w:ind w:firstLine="640"/>
        <w:jc w:val="left"/>
        <w:rPr>
          <w:rFonts w:ascii="PingFangSC-Regular" w:hAnsi="PingFangSC-Regular" w:eastAsia="宋体" w:cs="宋体"/>
          <w:color w:val="444444"/>
          <w:kern w:val="0"/>
          <w:sz w:val="24"/>
          <w:szCs w:val="24"/>
        </w:rPr>
      </w:pPr>
      <w:r>
        <w:rPr>
          <w:rFonts w:hint="eastAsia" w:ascii="黑体" w:hAnsi="黑体" w:eastAsia="黑体" w:cs="宋体"/>
          <w:color w:val="444444"/>
          <w:kern w:val="0"/>
          <w:sz w:val="32"/>
          <w:szCs w:val="32"/>
        </w:rPr>
        <w:t>第十六条</w:t>
      </w:r>
      <w:r>
        <w:rPr>
          <w:rFonts w:hint="eastAsia" w:ascii="仿宋_GB2312" w:hAnsi="PingFangSC-Regular" w:eastAsia="仿宋_GB2312" w:cs="宋体"/>
          <w:color w:val="444444"/>
          <w:kern w:val="0"/>
          <w:sz w:val="32"/>
          <w:szCs w:val="32"/>
        </w:rPr>
        <w:t> </w:t>
      </w:r>
      <w:r>
        <w:rPr>
          <w:rFonts w:ascii="Calibri" w:hAnsi="Calibri" w:eastAsia="黑体" w:cs="Calibri"/>
          <w:color w:val="444444"/>
          <w:kern w:val="0"/>
          <w:sz w:val="32"/>
          <w:szCs w:val="32"/>
        </w:rPr>
        <w:t> </w:t>
      </w:r>
      <w:r>
        <w:rPr>
          <w:rFonts w:hint="eastAsia" w:ascii="仿宋_GB2312" w:hAnsi="PingFangSC-Regular" w:eastAsia="仿宋_GB2312" w:cs="宋体"/>
          <w:color w:val="444444"/>
          <w:kern w:val="0"/>
          <w:sz w:val="32"/>
          <w:szCs w:val="32"/>
        </w:rPr>
        <w:t>本办法自印发之日起施行。</w:t>
      </w:r>
    </w:p>
    <w:p>
      <w:pPr>
        <w:spacing w:line="540" w:lineRule="exact"/>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3000509000000000000"/>
    <w:charset w:val="86"/>
    <w:family w:val="script"/>
    <w:pitch w:val="default"/>
    <w:sig w:usb0="00000000" w:usb1="00000000" w:usb2="00000010" w:usb3="00000000" w:csb0="00040000" w:csb1="00000000"/>
  </w:font>
  <w:font w:name="PingFangSC-Regular">
    <w:altName w:val="Cambria"/>
    <w:panose1 w:val="00000000000000000000"/>
    <w:charset w:val="00"/>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9158061"/>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D9F"/>
    <w:rsid w:val="000F6444"/>
    <w:rsid w:val="00152E3E"/>
    <w:rsid w:val="00285130"/>
    <w:rsid w:val="0035048E"/>
    <w:rsid w:val="00537D7B"/>
    <w:rsid w:val="0064102A"/>
    <w:rsid w:val="00802D9F"/>
    <w:rsid w:val="07352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spacing w:line="240" w:lineRule="atLeast"/>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303</Words>
  <Characters>1732</Characters>
  <Lines>14</Lines>
  <Paragraphs>4</Paragraphs>
  <TotalTime>13</TotalTime>
  <ScaleCrop>false</ScaleCrop>
  <LinksUpToDate>false</LinksUpToDate>
  <CharactersWithSpaces>2031</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2021-12-16T06:34:00Z</dcterms:created>
  <dc:creator>Administrator</dc:creator>
  <cp:lastModifiedBy>未定义</cp:lastModifiedBy>
  <dcterms:modified xsi:type="dcterms:W3CDTF">2026-08-20T02:31:11Z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