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B61AFE">
      <w:pPr>
        <w:spacing w:line="560" w:lineRule="exact"/>
        <w:jc w:val="left"/>
        <w:rPr>
          <w:rFonts w:ascii="仿宋_GB2312" w:hAnsi="仿宋_GB2312" w:eastAsia="仿宋_GB2312" w:cs="仿宋_GB231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0002BFC1">
      <w:pPr>
        <w:jc w:val="center"/>
        <w:rPr>
          <w:rFonts w:eastAsia="黑体"/>
          <w:color w:val="000000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大连高新区OPC社区入库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表</w:t>
      </w:r>
    </w:p>
    <w:bookmarkEnd w:id="0"/>
    <w:tbl>
      <w:tblPr>
        <w:tblStyle w:val="4"/>
        <w:tblW w:w="911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8"/>
        <w:gridCol w:w="2139"/>
        <w:gridCol w:w="288"/>
        <w:gridCol w:w="1704"/>
        <w:gridCol w:w="557"/>
        <w:gridCol w:w="1999"/>
      </w:tblGrid>
      <w:tr w14:paraId="3E87A4A9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5FB7B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OPC社区</w:t>
            </w:r>
            <w:r>
              <w:rPr>
                <w:color w:val="000000"/>
                <w:sz w:val="24"/>
              </w:rPr>
              <w:t>名称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056C8D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FB10C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运营</w:t>
            </w:r>
            <w:r>
              <w:rPr>
                <w:color w:val="000000"/>
                <w:sz w:val="24"/>
              </w:rPr>
              <w:t>单位</w:t>
            </w:r>
          </w:p>
          <w:p w14:paraId="71F75382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（盖章）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69D17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202E526B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F1722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注册时间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E421E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  月  日</w:t>
            </w: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3FE1A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注册资本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FF82D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 xml:space="preserve"> 万元</w:t>
            </w:r>
          </w:p>
        </w:tc>
      </w:tr>
      <w:tr w14:paraId="467D8DAF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4413D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注册地址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209E6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44F76089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F2FB2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通讯地址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B3297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6E177A6B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8A374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法人代表</w:t>
            </w: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988D5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7337ED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手机号码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E948A0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64B3D679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57F21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联系人</w:t>
            </w: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42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AD8F2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1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A3559C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手机号码</w:t>
            </w:r>
          </w:p>
        </w:tc>
        <w:tc>
          <w:tcPr>
            <w:tcW w:w="255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5C9DA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0E4B87B7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9F529">
            <w:pPr>
              <w:widowControl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社区赛道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5CAF4">
            <w:pPr>
              <w:widowControl/>
              <w:jc w:val="left"/>
              <w:rPr>
                <w:color w:val="000000"/>
                <w:sz w:val="24"/>
              </w:rPr>
            </w:pPr>
          </w:p>
        </w:tc>
      </w:tr>
      <w:tr w14:paraId="03EF1554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5215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申报单位性质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C8904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1.事业单位   2.国有企业  3.民营企业   4.其他</w:t>
            </w:r>
            <w:r>
              <w:rPr>
                <w:rFonts w:hint="eastAsia"/>
                <w:color w:val="000000"/>
                <w:sz w:val="24"/>
              </w:rPr>
              <w:t>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</w:t>
            </w:r>
          </w:p>
        </w:tc>
      </w:tr>
      <w:tr w14:paraId="161537EF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29AC1">
            <w:pPr>
              <w:widowControl/>
              <w:ind w:right="-105" w:rightChars="-5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OPC社区</w:t>
            </w:r>
            <w:r>
              <w:rPr>
                <w:color w:val="000000"/>
                <w:sz w:val="24"/>
              </w:rPr>
              <w:t>场地</w:t>
            </w:r>
          </w:p>
          <w:p w14:paraId="504431BB">
            <w:pPr>
              <w:widowControl/>
              <w:ind w:right="-105" w:rightChars="-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产权情况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6EF29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1.自有</w:t>
            </w:r>
            <w:r>
              <w:rPr>
                <w:rFonts w:hint="eastAsia"/>
                <w:color w:val="000000"/>
                <w:sz w:val="24"/>
              </w:rPr>
              <w:t>产权</w:t>
            </w:r>
            <w:r>
              <w:rPr>
                <w:color w:val="000000"/>
                <w:sz w:val="24"/>
              </w:rPr>
              <w:t xml:space="preserve">   2.租赁   3.合作经营</w:t>
            </w:r>
            <w:r>
              <w:rPr>
                <w:rFonts w:hint="eastAsia"/>
                <w:color w:val="000000"/>
                <w:sz w:val="24"/>
              </w:rPr>
              <w:t>（协议使用）</w:t>
            </w:r>
          </w:p>
        </w:tc>
      </w:tr>
      <w:tr w14:paraId="345F6F66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295FEC">
            <w:pPr>
              <w:widowControl/>
              <w:ind w:right="-105" w:rightChars="-5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OPC社区</w:t>
            </w:r>
            <w:r>
              <w:rPr>
                <w:color w:val="000000"/>
                <w:sz w:val="24"/>
              </w:rPr>
              <w:t>场地</w:t>
            </w:r>
          </w:p>
          <w:p w14:paraId="625EA983">
            <w:pPr>
              <w:widowControl/>
              <w:ind w:right="-105" w:rightChars="-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地址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DB284">
            <w:pPr>
              <w:spacing w:line="400" w:lineRule="exac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地址：（具体到楼层：如XX区XX路XX号XX幢</w:t>
            </w:r>
            <w:r>
              <w:rPr>
                <w:rFonts w:hint="eastAsia"/>
                <w:color w:val="000000"/>
                <w:sz w:val="24"/>
              </w:rPr>
              <w:t>XX</w:t>
            </w:r>
            <w:r>
              <w:rPr>
                <w:color w:val="000000"/>
                <w:sz w:val="24"/>
              </w:rPr>
              <w:t>层）</w:t>
            </w:r>
          </w:p>
        </w:tc>
      </w:tr>
      <w:tr w14:paraId="761529BD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99B99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OPC社区场地</w:t>
            </w:r>
          </w:p>
          <w:p w14:paraId="3F64BC63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总面积（㎡）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FF338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D007D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创业工位数</w:t>
            </w:r>
            <w:r>
              <w:rPr>
                <w:color w:val="000000"/>
                <w:sz w:val="24"/>
              </w:rPr>
              <w:t>（</w:t>
            </w:r>
            <w:r>
              <w:rPr>
                <w:rFonts w:hint="eastAsia"/>
                <w:color w:val="000000"/>
                <w:sz w:val="24"/>
              </w:rPr>
              <w:t>个</w:t>
            </w:r>
            <w:r>
              <w:rPr>
                <w:color w:val="000000"/>
                <w:sz w:val="24"/>
              </w:rPr>
              <w:t>）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AC1F6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0A8B5045">
        <w:trPr>
          <w:trHeight w:val="567" w:hRule="atLeast"/>
          <w:jc w:val="center"/>
        </w:trPr>
        <w:tc>
          <w:tcPr>
            <w:tcW w:w="24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A615D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入驻的</w:t>
            </w: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人工智能</w:t>
            </w:r>
            <w:r>
              <w:rPr>
                <w:rFonts w:hint="eastAsia"/>
                <w:color w:val="000000"/>
                <w:sz w:val="24"/>
                <w:highlight w:val="none"/>
              </w:rPr>
              <w:t>企业</w:t>
            </w:r>
          </w:p>
          <w:p w14:paraId="7F87A4C3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与团队数</w:t>
            </w:r>
            <w:r>
              <w:rPr>
                <w:color w:val="000000"/>
                <w:sz w:val="24"/>
                <w:highlight w:val="none"/>
              </w:rPr>
              <w:t>（家）</w:t>
            </w:r>
          </w:p>
        </w:tc>
        <w:tc>
          <w:tcPr>
            <w:tcW w:w="21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C1C0D">
            <w:pPr>
              <w:widowControl/>
              <w:ind w:left="8" w:leftChars="4" w:right="-105" w:rightChars="-50"/>
              <w:jc w:val="both"/>
              <w:rPr>
                <w:rFonts w:hint="eastAsia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企业数：</w:t>
            </w:r>
          </w:p>
          <w:p w14:paraId="3CBB9567">
            <w:pPr>
              <w:widowControl/>
              <w:ind w:left="8" w:leftChars="4" w:right="-105" w:rightChars="-50"/>
              <w:jc w:val="both"/>
              <w:rPr>
                <w:rFonts w:hint="eastAsia"/>
                <w:color w:val="000000"/>
                <w:sz w:val="24"/>
                <w:highlight w:val="none"/>
                <w:lang w:eastAsia="zh-CN"/>
              </w:rPr>
            </w:pPr>
            <w:r>
              <w:rPr>
                <w:rFonts w:hint="eastAsia"/>
                <w:color w:val="000000"/>
                <w:sz w:val="24"/>
                <w:highlight w:val="none"/>
                <w:lang w:eastAsia="zh-CN"/>
              </w:rPr>
              <w:t>团队数：</w:t>
            </w:r>
          </w:p>
        </w:tc>
        <w:tc>
          <w:tcPr>
            <w:tcW w:w="254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DEEEA">
            <w:pPr>
              <w:widowControl/>
              <w:jc w:val="center"/>
              <w:rPr>
                <w:color w:val="000000"/>
                <w:sz w:val="24"/>
                <w:highlight w:val="none"/>
              </w:rPr>
            </w:pPr>
            <w:r>
              <w:rPr>
                <w:rFonts w:hint="eastAsia"/>
                <w:color w:val="000000"/>
                <w:sz w:val="24"/>
                <w:highlight w:val="none"/>
              </w:rPr>
              <w:t>其中：合规的OPC企业数（家）</w:t>
            </w:r>
          </w:p>
        </w:tc>
        <w:tc>
          <w:tcPr>
            <w:tcW w:w="19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9FB20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3B01DDA9">
        <w:trPr>
          <w:trHeight w:val="312" w:hRule="atLeast"/>
          <w:jc w:val="center"/>
        </w:trPr>
        <w:tc>
          <w:tcPr>
            <w:tcW w:w="24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4C36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213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FBE91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254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364F1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19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B79D2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11158B56">
        <w:trPr>
          <w:trHeight w:val="744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A9073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OPC社区管理机构人员总数</w:t>
            </w:r>
            <w:r>
              <w:rPr>
                <w:color w:val="000000"/>
                <w:sz w:val="24"/>
              </w:rPr>
              <w:t>（人）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BFE5A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D7D6E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其中</w:t>
            </w:r>
            <w:r>
              <w:rPr>
                <w:rFonts w:hint="eastAsia"/>
                <w:color w:val="000000"/>
                <w:sz w:val="24"/>
              </w:rPr>
              <w:t>：专业服务人员数</w:t>
            </w:r>
            <w:r>
              <w:rPr>
                <w:color w:val="000000"/>
                <w:sz w:val="24"/>
              </w:rPr>
              <w:t>（人）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66F7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2DDD251F">
        <w:trPr>
          <w:trHeight w:val="567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622D6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  <w:lang w:val="en-US" w:eastAsia="zh-CN"/>
              </w:rPr>
              <w:t>签约常驻创业导师数（人）</w:t>
            </w:r>
          </w:p>
        </w:tc>
        <w:tc>
          <w:tcPr>
            <w:tcW w:w="2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85413">
            <w:pPr>
              <w:widowControl/>
              <w:jc w:val="center"/>
              <w:rPr>
                <w:color w:val="000000"/>
                <w:sz w:val="24"/>
              </w:rPr>
            </w:pPr>
          </w:p>
        </w:tc>
        <w:tc>
          <w:tcPr>
            <w:tcW w:w="254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2F07C">
            <w:pPr>
              <w:widowControl/>
              <w:ind w:left="8" w:leftChars="4" w:right="-105" w:rightChars="-5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管理制度数（项）</w:t>
            </w:r>
          </w:p>
        </w:tc>
        <w:tc>
          <w:tcPr>
            <w:tcW w:w="19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8F7CB">
            <w:pPr>
              <w:widowControl/>
              <w:jc w:val="center"/>
              <w:rPr>
                <w:color w:val="000000"/>
                <w:sz w:val="24"/>
              </w:rPr>
            </w:pPr>
          </w:p>
        </w:tc>
      </w:tr>
      <w:tr w14:paraId="47FE7D5A">
        <w:trPr>
          <w:trHeight w:val="640" w:hRule="atLeast"/>
          <w:jc w:val="center"/>
        </w:trPr>
        <w:tc>
          <w:tcPr>
            <w:tcW w:w="2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9BD29">
            <w:pPr>
              <w:widowControl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公共服务能力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D1E19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1.财务代账 2.税务申报 3.法律咨询 4.专利申报 5.其他：</w:t>
            </w:r>
            <w:r>
              <w:rPr>
                <w:rFonts w:hint="eastAsia"/>
                <w:color w:val="000000"/>
                <w:sz w:val="24"/>
                <w:u w:val="single"/>
              </w:rPr>
              <w:t xml:space="preserve">      </w:t>
            </w:r>
          </w:p>
        </w:tc>
      </w:tr>
      <w:tr w14:paraId="1263A4D4">
        <w:trPr>
          <w:trHeight w:val="5334" w:hRule="atLeast"/>
          <w:jc w:val="center"/>
        </w:trPr>
        <w:tc>
          <w:tcPr>
            <w:tcW w:w="91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6713D">
            <w:pPr>
              <w:widowControl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综合运营能力：品牌建设与生态构建、算力调度与场景资源整合、招商协同与服务管理等能力。</w:t>
            </w:r>
          </w:p>
          <w:p w14:paraId="57D54B16">
            <w:pPr>
              <w:widowControl/>
              <w:rPr>
                <w:color w:val="000000"/>
                <w:sz w:val="24"/>
              </w:rPr>
            </w:pPr>
          </w:p>
          <w:p w14:paraId="11910E1D">
            <w:pPr>
              <w:widowControl/>
              <w:rPr>
                <w:color w:val="000000"/>
                <w:sz w:val="24"/>
              </w:rPr>
            </w:pPr>
          </w:p>
          <w:p w14:paraId="144C47D2">
            <w:pPr>
              <w:widowControl/>
              <w:rPr>
                <w:color w:val="000000"/>
                <w:sz w:val="24"/>
              </w:rPr>
            </w:pPr>
          </w:p>
          <w:p w14:paraId="7C0365D1">
            <w:pPr>
              <w:widowControl/>
              <w:rPr>
                <w:color w:val="000000"/>
                <w:sz w:val="24"/>
              </w:rPr>
            </w:pPr>
          </w:p>
          <w:p w14:paraId="7C561E62">
            <w:pPr>
              <w:widowControl/>
              <w:rPr>
                <w:color w:val="000000"/>
                <w:sz w:val="24"/>
              </w:rPr>
            </w:pPr>
          </w:p>
          <w:p w14:paraId="305F303F">
            <w:pPr>
              <w:widowControl/>
              <w:rPr>
                <w:color w:val="000000"/>
                <w:sz w:val="24"/>
              </w:rPr>
            </w:pPr>
          </w:p>
          <w:p w14:paraId="547E93F4">
            <w:pPr>
              <w:widowControl/>
              <w:rPr>
                <w:color w:val="000000"/>
                <w:sz w:val="24"/>
              </w:rPr>
            </w:pPr>
          </w:p>
          <w:p w14:paraId="3D62541A">
            <w:pPr>
              <w:widowControl/>
              <w:rPr>
                <w:color w:val="000000"/>
                <w:sz w:val="24"/>
              </w:rPr>
            </w:pPr>
          </w:p>
          <w:p w14:paraId="53E61D9C">
            <w:pPr>
              <w:widowControl/>
              <w:rPr>
                <w:color w:val="000000"/>
                <w:sz w:val="24"/>
              </w:rPr>
            </w:pPr>
          </w:p>
          <w:p w14:paraId="73D5BC2B">
            <w:pPr>
              <w:widowControl/>
              <w:rPr>
                <w:color w:val="000000"/>
                <w:sz w:val="24"/>
              </w:rPr>
            </w:pPr>
          </w:p>
          <w:p w14:paraId="6AB9455F">
            <w:pPr>
              <w:widowControl/>
              <w:rPr>
                <w:color w:val="000000"/>
                <w:sz w:val="24"/>
              </w:rPr>
            </w:pPr>
          </w:p>
          <w:p w14:paraId="60E9E5A0">
            <w:pPr>
              <w:widowControl/>
              <w:rPr>
                <w:color w:val="000000"/>
                <w:sz w:val="24"/>
              </w:rPr>
            </w:pPr>
          </w:p>
          <w:p w14:paraId="63BEEC22">
            <w:pPr>
              <w:widowControl/>
              <w:rPr>
                <w:color w:val="000000"/>
                <w:sz w:val="24"/>
              </w:rPr>
            </w:pPr>
          </w:p>
          <w:p w14:paraId="03E925FC">
            <w:pPr>
              <w:widowControl/>
              <w:rPr>
                <w:color w:val="000000"/>
                <w:sz w:val="24"/>
              </w:rPr>
            </w:pPr>
          </w:p>
          <w:p w14:paraId="2D85FE19">
            <w:pPr>
              <w:widowControl/>
              <w:rPr>
                <w:color w:val="000000"/>
                <w:sz w:val="24"/>
              </w:rPr>
            </w:pPr>
          </w:p>
          <w:p w14:paraId="295AE9D9">
            <w:pPr>
              <w:widowControl/>
              <w:rPr>
                <w:color w:val="000000"/>
                <w:sz w:val="24"/>
              </w:rPr>
            </w:pPr>
          </w:p>
          <w:p w14:paraId="30C6A468">
            <w:pPr>
              <w:widowControl/>
              <w:rPr>
                <w:color w:val="000000"/>
                <w:sz w:val="24"/>
              </w:rPr>
            </w:pPr>
          </w:p>
          <w:p w14:paraId="6E9A88E0">
            <w:pPr>
              <w:widowControl/>
              <w:rPr>
                <w:color w:val="000000"/>
                <w:sz w:val="24"/>
              </w:rPr>
            </w:pPr>
          </w:p>
          <w:p w14:paraId="1CF9A437">
            <w:pPr>
              <w:widowControl/>
              <w:rPr>
                <w:color w:val="000000"/>
                <w:sz w:val="24"/>
              </w:rPr>
            </w:pPr>
          </w:p>
          <w:p w14:paraId="4188185D">
            <w:pPr>
              <w:widowControl/>
              <w:rPr>
                <w:color w:val="000000"/>
                <w:sz w:val="24"/>
              </w:rPr>
            </w:pPr>
          </w:p>
          <w:p w14:paraId="0E4C677E">
            <w:pPr>
              <w:widowControl/>
              <w:rPr>
                <w:color w:val="000000"/>
                <w:sz w:val="24"/>
              </w:rPr>
            </w:pPr>
          </w:p>
          <w:p w14:paraId="350DF595">
            <w:pPr>
              <w:widowControl/>
              <w:rPr>
                <w:color w:val="000000"/>
                <w:sz w:val="24"/>
              </w:rPr>
            </w:pPr>
          </w:p>
          <w:p w14:paraId="47BBFA15">
            <w:pPr>
              <w:widowControl/>
              <w:rPr>
                <w:color w:val="000000"/>
                <w:sz w:val="24"/>
              </w:rPr>
            </w:pPr>
          </w:p>
          <w:p w14:paraId="6CF08166">
            <w:pPr>
              <w:widowControl/>
              <w:rPr>
                <w:color w:val="000000"/>
                <w:sz w:val="24"/>
              </w:rPr>
            </w:pPr>
          </w:p>
          <w:p w14:paraId="1EAA3CCC">
            <w:pPr>
              <w:widowControl/>
              <w:rPr>
                <w:color w:val="000000"/>
                <w:sz w:val="24"/>
              </w:rPr>
            </w:pPr>
          </w:p>
          <w:p w14:paraId="138D5056">
            <w:pPr>
              <w:widowControl/>
              <w:rPr>
                <w:color w:val="000000"/>
                <w:sz w:val="24"/>
              </w:rPr>
            </w:pPr>
          </w:p>
          <w:p w14:paraId="4D20058B">
            <w:pPr>
              <w:widowControl/>
              <w:rPr>
                <w:color w:val="000000"/>
                <w:sz w:val="24"/>
              </w:rPr>
            </w:pPr>
          </w:p>
          <w:p w14:paraId="5B46B160">
            <w:pPr>
              <w:widowControl/>
              <w:rPr>
                <w:color w:val="000000"/>
                <w:sz w:val="24"/>
              </w:rPr>
            </w:pPr>
          </w:p>
          <w:p w14:paraId="0965FB97">
            <w:pPr>
              <w:widowControl/>
              <w:rPr>
                <w:color w:val="000000"/>
                <w:sz w:val="24"/>
              </w:rPr>
            </w:pPr>
          </w:p>
          <w:p w14:paraId="73F1137C">
            <w:pPr>
              <w:widowControl/>
              <w:rPr>
                <w:color w:val="000000"/>
                <w:sz w:val="24"/>
              </w:rPr>
            </w:pPr>
          </w:p>
          <w:p w14:paraId="2AFB439F">
            <w:pPr>
              <w:widowControl/>
              <w:rPr>
                <w:color w:val="000000"/>
                <w:sz w:val="24"/>
              </w:rPr>
            </w:pPr>
          </w:p>
          <w:p w14:paraId="196DE347">
            <w:pPr>
              <w:widowControl/>
              <w:rPr>
                <w:color w:val="000000"/>
                <w:sz w:val="24"/>
              </w:rPr>
            </w:pPr>
          </w:p>
          <w:p w14:paraId="5972F360">
            <w:pPr>
              <w:widowControl/>
              <w:rPr>
                <w:color w:val="000000"/>
                <w:sz w:val="24"/>
              </w:rPr>
            </w:pPr>
          </w:p>
          <w:p w14:paraId="1D3CD938">
            <w:pPr>
              <w:widowControl/>
              <w:rPr>
                <w:color w:val="000000"/>
                <w:sz w:val="24"/>
              </w:rPr>
            </w:pPr>
          </w:p>
          <w:p w14:paraId="21AF47A2">
            <w:pPr>
              <w:widowControl/>
              <w:rPr>
                <w:color w:val="000000"/>
                <w:sz w:val="24"/>
              </w:rPr>
            </w:pPr>
          </w:p>
          <w:p w14:paraId="1072D7C3">
            <w:pPr>
              <w:widowControl/>
              <w:rPr>
                <w:color w:val="000000"/>
                <w:sz w:val="24"/>
              </w:rPr>
            </w:pPr>
          </w:p>
          <w:p w14:paraId="76950779">
            <w:pPr>
              <w:widowControl/>
              <w:rPr>
                <w:color w:val="000000"/>
                <w:sz w:val="24"/>
              </w:rPr>
            </w:pPr>
          </w:p>
          <w:p w14:paraId="52E7D3BE">
            <w:pPr>
              <w:widowControl/>
              <w:rPr>
                <w:color w:val="000000"/>
                <w:sz w:val="24"/>
              </w:rPr>
            </w:pPr>
          </w:p>
          <w:p w14:paraId="4752CF45">
            <w:pPr>
              <w:widowControl/>
              <w:rPr>
                <w:color w:val="000000"/>
                <w:sz w:val="24"/>
              </w:rPr>
            </w:pPr>
          </w:p>
          <w:p w14:paraId="3D8E101B">
            <w:pPr>
              <w:widowControl/>
              <w:rPr>
                <w:color w:val="000000"/>
                <w:sz w:val="24"/>
              </w:rPr>
            </w:pPr>
          </w:p>
          <w:p w14:paraId="77A62260">
            <w:pPr>
              <w:widowControl/>
              <w:rPr>
                <w:color w:val="000000"/>
                <w:sz w:val="24"/>
              </w:rPr>
            </w:pPr>
          </w:p>
          <w:p w14:paraId="172CA376">
            <w:pPr>
              <w:widowControl/>
              <w:rPr>
                <w:color w:val="000000"/>
                <w:sz w:val="24"/>
              </w:rPr>
            </w:pPr>
          </w:p>
        </w:tc>
      </w:tr>
      <w:tr w14:paraId="7CFD6DA7">
        <w:trPr>
          <w:trHeight w:val="7233" w:hRule="atLeast"/>
          <w:jc w:val="center"/>
        </w:trPr>
        <w:tc>
          <w:tcPr>
            <w:tcW w:w="91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C4E11">
            <w:pPr>
              <w:suppressAutoHyphens/>
              <w:spacing w:line="600" w:lineRule="exact"/>
              <w:jc w:val="center"/>
              <w:rPr>
                <w:b/>
                <w:bCs/>
                <w:color w:val="000000"/>
                <w:sz w:val="36"/>
                <w:szCs w:val="36"/>
              </w:rPr>
            </w:pPr>
          </w:p>
          <w:p w14:paraId="764E4CA0">
            <w:pPr>
              <w:suppressAutoHyphens/>
              <w:spacing w:line="600" w:lineRule="exact"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>
              <w:rPr>
                <w:b/>
                <w:bCs/>
                <w:color w:val="000000"/>
                <w:sz w:val="36"/>
                <w:szCs w:val="36"/>
              </w:rPr>
              <w:t>申报单位承诺</w:t>
            </w:r>
          </w:p>
          <w:p w14:paraId="10A02A93">
            <w:pPr>
              <w:suppressAutoHyphens/>
              <w:spacing w:line="600" w:lineRule="exact"/>
              <w:ind w:firstLine="420" w:firstLineChars="200"/>
              <w:rPr>
                <w:color w:val="000000"/>
                <w:szCs w:val="32"/>
              </w:rPr>
            </w:pPr>
          </w:p>
          <w:p w14:paraId="6697D5B0">
            <w:pPr>
              <w:suppressAutoHyphens/>
              <w:spacing w:line="600" w:lineRule="exact"/>
              <w:ind w:firstLine="420" w:firstLineChars="200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本单位承诺申报材料中所有信息真实可靠，运营主体申请认定前一年内未发生重大安全事故、重大质量事故、严重环境违法行为或严重失信行为。若有失实和造假行为，本单位愿承担一切责任。</w:t>
            </w:r>
          </w:p>
          <w:p w14:paraId="0F7BDC6F">
            <w:pPr>
              <w:suppressAutoHyphens/>
              <w:spacing w:line="600" w:lineRule="exact"/>
              <w:rPr>
                <w:color w:val="000000"/>
                <w:szCs w:val="32"/>
              </w:rPr>
            </w:pPr>
          </w:p>
          <w:p w14:paraId="24FFC228">
            <w:pPr>
              <w:suppressAutoHyphens/>
              <w:spacing w:line="600" w:lineRule="exact"/>
              <w:rPr>
                <w:color w:val="000000"/>
                <w:szCs w:val="32"/>
              </w:rPr>
            </w:pPr>
          </w:p>
          <w:p w14:paraId="0BFF23E1">
            <w:pPr>
              <w:suppressAutoHyphens/>
              <w:spacing w:line="600" w:lineRule="exact"/>
              <w:rPr>
                <w:color w:val="000000"/>
                <w:szCs w:val="32"/>
              </w:rPr>
            </w:pPr>
          </w:p>
          <w:p w14:paraId="6235687C">
            <w:pPr>
              <w:suppressAutoHyphens/>
              <w:spacing w:line="600" w:lineRule="exact"/>
              <w:rPr>
                <w:color w:val="000000"/>
                <w:szCs w:val="32"/>
              </w:rPr>
            </w:pPr>
          </w:p>
          <w:p w14:paraId="7C70375E">
            <w:pPr>
              <w:suppressAutoHyphens/>
              <w:spacing w:line="600" w:lineRule="exact"/>
              <w:ind w:firstLine="840" w:firstLineChars="400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法定代表</w:t>
            </w:r>
            <w:r>
              <w:rPr>
                <w:rFonts w:hint="eastAsia"/>
                <w:color w:val="000000"/>
                <w:szCs w:val="32"/>
              </w:rPr>
              <w:t>人</w:t>
            </w:r>
            <w:r>
              <w:rPr>
                <w:color w:val="000000"/>
                <w:szCs w:val="32"/>
              </w:rPr>
              <w:t xml:space="preserve">（签字）：                  </w:t>
            </w:r>
          </w:p>
          <w:p w14:paraId="010FDF48">
            <w:pPr>
              <w:suppressAutoHyphens/>
              <w:spacing w:line="600" w:lineRule="exact"/>
              <w:ind w:firstLine="840" w:firstLineChars="400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>申报单位</w:t>
            </w:r>
            <w:r>
              <w:rPr>
                <w:rFonts w:hint="eastAsia"/>
                <w:color w:val="000000"/>
                <w:szCs w:val="32"/>
              </w:rPr>
              <w:t xml:space="preserve">  </w:t>
            </w:r>
            <w:r>
              <w:rPr>
                <w:color w:val="000000"/>
                <w:szCs w:val="32"/>
              </w:rPr>
              <w:t>（公章）</w:t>
            </w:r>
          </w:p>
          <w:p w14:paraId="3A0E9986">
            <w:pPr>
              <w:suppressAutoHyphens/>
              <w:spacing w:line="600" w:lineRule="exact"/>
              <w:ind w:firstLine="840" w:firstLineChars="400"/>
              <w:rPr>
                <w:color w:val="000000"/>
                <w:szCs w:val="32"/>
              </w:rPr>
            </w:pPr>
          </w:p>
          <w:p w14:paraId="6DC168FE">
            <w:pPr>
              <w:spacing w:line="600" w:lineRule="exact"/>
              <w:rPr>
                <w:color w:val="000000"/>
                <w:szCs w:val="32"/>
              </w:rPr>
            </w:pPr>
            <w:r>
              <w:rPr>
                <w:color w:val="000000"/>
                <w:szCs w:val="32"/>
              </w:rPr>
              <w:t xml:space="preserve">                                      年   月   日</w:t>
            </w:r>
          </w:p>
        </w:tc>
      </w:tr>
    </w:tbl>
    <w:p w14:paraId="7733526D">
      <w:pPr>
        <w:spacing w:line="600" w:lineRule="exact"/>
        <w:rPr>
          <w:rFonts w:eastAsia="黑体"/>
          <w:vanish/>
          <w:color w:val="000000"/>
        </w:rPr>
      </w:pPr>
    </w:p>
    <w:p w14:paraId="12A0B49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9A48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F35D4"/>
    <w:rsid w:val="1F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2026-09-14T09:57:00Z</dcterms:created>
  <dc:creator>廿</dc:creator>
  <cp:lastModifiedBy>廿</cp:lastModifiedBy>
  <dcterms:modified xsi:type="dcterms:W3CDTF">2026-09-14T09:58:42Z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32916CC3A893C2059154A76A2D3026FE_41</vt:lpwstr>
  </property>
</Properties>
</file>