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4D443F">
      <w:pPr>
        <w:pStyle w:val="32"/>
        <w:jc w:val="center"/>
        <w:rPr>
          <w:lang w:eastAsia="zh-CN"/>
        </w:rPr>
      </w:pPr>
      <w:r>
        <w:rPr>
          <w:rFonts w:ascii="方正小标宋简体" w:hAnsi="方正小标宋简体" w:eastAsia="方正小标宋简体"/>
          <w:color w:val="000000"/>
          <w:sz w:val="44"/>
          <w:lang w:eastAsia="zh-CN"/>
        </w:rPr>
        <w:t>体育产业技术创新需求目录</w:t>
      </w:r>
    </w:p>
    <w:p w14:paraId="76402550">
      <w:pPr>
        <w:jc w:val="center"/>
        <w:rPr>
          <w:lang w:eastAsia="zh-CN"/>
        </w:rPr>
      </w:pPr>
      <w:r>
        <w:rPr>
          <w:rFonts w:ascii="楷体" w:hAnsi="楷体" w:eastAsia="楷体"/>
          <w:sz w:val="32"/>
          <w:lang w:eastAsia="zh-CN"/>
        </w:rPr>
        <w:t>（2026年版）</w:t>
      </w:r>
    </w:p>
    <w:p w14:paraId="15E454CB">
      <w:pPr>
        <w:rPr>
          <w:lang w:eastAsia="zh-CN"/>
        </w:rPr>
      </w:pPr>
    </w:p>
    <w:p w14:paraId="7395A46B">
      <w:pPr>
        <w:jc w:val="center"/>
        <w:rPr>
          <w:lang w:eastAsia="zh-CN"/>
        </w:rPr>
      </w:pPr>
      <w:r>
        <w:rPr>
          <w:rFonts w:ascii="黑体" w:hAnsi="黑体" w:eastAsia="黑体"/>
          <w:b/>
          <w:sz w:val="32"/>
          <w:lang w:eastAsia="zh-CN"/>
        </w:rPr>
        <w:t>编制说明</w:t>
      </w:r>
    </w:p>
    <w:p w14:paraId="4ED1914F">
      <w:pPr>
        <w:spacing w:line="360" w:lineRule="auto"/>
        <w:ind w:firstLine="560" w:firstLineChars="200"/>
        <w:rPr>
          <w:highlight w:val="none"/>
          <w:lang w:eastAsia="zh-CN"/>
        </w:rPr>
      </w:pPr>
      <w:r>
        <w:rPr>
          <w:lang w:eastAsia="zh-CN"/>
        </w:rPr>
        <w:t>为深入贯彻落实创新驱动发展战略，加快推进体育强国建设，聚焦体育产业发展中的关键核心技术难题，打通产学研用协同创新通道，工业和信息化部火炬高技术产业开发中心联合国家体育总局有关单位，面向体育产业各领域开展技术需求摸底调研，</w:t>
      </w:r>
      <w:r>
        <w:rPr>
          <w:highlight w:val="none"/>
          <w:lang w:eastAsia="zh-CN"/>
        </w:rPr>
        <w:t>梳理形成本目录。</w:t>
      </w:r>
    </w:p>
    <w:p w14:paraId="58C06807">
      <w:pPr>
        <w:spacing w:line="360" w:lineRule="auto"/>
        <w:ind w:firstLine="560" w:firstLineChars="200"/>
        <w:rPr>
          <w:lang w:eastAsia="zh-CN"/>
        </w:rPr>
      </w:pPr>
      <w:r>
        <w:rPr>
          <w:highlight w:val="none"/>
          <w:lang w:eastAsia="zh-CN"/>
        </w:rPr>
        <w:t>本目录围绕体育数字化、高科技体育用品、</w:t>
      </w:r>
      <w:r>
        <w:rPr>
          <w:rFonts w:hint="eastAsia"/>
          <w:highlight w:val="none"/>
          <w:lang w:val="en-US" w:eastAsia="zh-CN"/>
        </w:rPr>
        <w:t>智慧</w:t>
      </w:r>
      <w:r>
        <w:rPr>
          <w:highlight w:val="none"/>
          <w:lang w:eastAsia="zh-CN"/>
        </w:rPr>
        <w:t>场馆</w:t>
      </w:r>
      <w:r>
        <w:rPr>
          <w:lang w:eastAsia="zh-CN"/>
        </w:rPr>
        <w:t>三大重点领域，设置1</w:t>
      </w:r>
      <w:r>
        <w:rPr>
          <w:rFonts w:hint="eastAsia"/>
          <w:lang w:val="en-US" w:eastAsia="zh-CN"/>
        </w:rPr>
        <w:t>4</w:t>
      </w:r>
      <w:r>
        <w:rPr>
          <w:lang w:eastAsia="zh-CN"/>
        </w:rPr>
        <w:t>个技术方向，共收录46条技术创新需求。每条需求均来自产业一线真实调研，反映了当前体育</w:t>
      </w:r>
      <w:bookmarkStart w:id="0" w:name="_GoBack"/>
      <w:bookmarkEnd w:id="0"/>
      <w:r>
        <w:rPr>
          <w:lang w:eastAsia="zh-CN"/>
        </w:rPr>
        <w:t>企业、训练单位、场馆运营方在技术研发、产品升级、设施改造中亟待解决的实际问题。</w:t>
      </w:r>
    </w:p>
    <w:p w14:paraId="6863B6B2">
      <w:pPr>
        <w:spacing w:line="360" w:lineRule="auto"/>
        <w:ind w:firstLine="560" w:firstLineChars="200"/>
        <w:rPr>
          <w:lang w:eastAsia="zh-CN"/>
        </w:rPr>
      </w:pPr>
      <w:r>
        <w:rPr>
          <w:lang w:eastAsia="zh-CN"/>
        </w:rPr>
        <w:t>本目录旨在为各级政府部门确定支持重点提供决策参考，为企业和科研院所选择攻关方向提供指引，为金融机构和投资机构支持体育科技创新提供导向。目录将根据产业发展和技术迭代情况动态修订。</w:t>
      </w:r>
    </w:p>
    <w:p w14:paraId="5464C8EB">
      <w:pPr>
        <w:rPr>
          <w:lang w:eastAsia="zh-CN"/>
        </w:rPr>
      </w:pPr>
      <w:r>
        <w:rPr>
          <w:lang w:eastAsia="zh-CN"/>
        </w:rPr>
        <w:br w:type="page"/>
      </w:r>
    </w:p>
    <w:p w14:paraId="397CBBAF">
      <w:pPr>
        <w:spacing w:before="240" w:after="120"/>
        <w:rPr>
          <w:lang w:eastAsia="zh-CN"/>
        </w:rPr>
      </w:pPr>
      <w:r>
        <w:rPr>
          <w:rFonts w:ascii="黑体" w:hAnsi="黑体" w:eastAsia="黑体"/>
          <w:b/>
          <w:sz w:val="32"/>
          <w:lang w:eastAsia="zh-CN"/>
        </w:rPr>
        <w:t>一、体育数字化</w:t>
      </w:r>
    </w:p>
    <w:p w14:paraId="0138FA07">
      <w:pPr>
        <w:spacing w:before="160" w:after="80"/>
        <w:rPr>
          <w:lang w:eastAsia="zh-CN"/>
        </w:rPr>
      </w:pPr>
      <w:r>
        <w:rPr>
          <w:rFonts w:ascii="楷体" w:hAnsi="楷体" w:eastAsia="楷体"/>
          <w:b/>
          <w:sz w:val="30"/>
          <w:lang w:eastAsia="zh-CN"/>
        </w:rPr>
        <w:t>（一）智能训练与数据分析</w:t>
      </w:r>
    </w:p>
    <w:p w14:paraId="01DC7CAB">
      <w:pPr>
        <w:spacing w:after="40"/>
        <w:ind w:firstLine="562" w:firstLineChars="200"/>
        <w:rPr>
          <w:lang w:eastAsia="zh-CN"/>
        </w:rPr>
      </w:pPr>
      <w:r>
        <w:rPr>
          <w:rFonts w:ascii="仿宋_GB2312" w:hAnsi="仿宋_GB2312" w:eastAsia="仿宋_GB2312"/>
          <w:b/>
          <w:lang w:eastAsia="zh-CN"/>
        </w:rPr>
        <w:t>1. 高速运动场景AI动作捕捉与</w:t>
      </w:r>
      <w:r>
        <w:rPr>
          <w:rFonts w:hint="eastAsia" w:ascii="仿宋_GB2312" w:hAnsi="仿宋_GB2312" w:eastAsia="仿宋_GB2312"/>
          <w:b/>
          <w:lang w:eastAsia="zh-CN"/>
        </w:rPr>
        <w:t>多传感器数据融合</w:t>
      </w:r>
    </w:p>
    <w:p w14:paraId="02A7605A">
      <w:pPr>
        <w:spacing w:after="120" w:line="360" w:lineRule="auto"/>
        <w:ind w:firstLine="520" w:firstLineChars="200"/>
        <w:rPr>
          <w:lang w:eastAsia="zh-CN"/>
        </w:rPr>
      </w:pPr>
      <w:r>
        <w:rPr>
          <w:color w:val="505050"/>
          <w:sz w:val="26"/>
          <w:lang w:eastAsia="zh-CN"/>
        </w:rPr>
        <w:t>解决高速运动场景下AI动作捕捉系统实时性不足、多源传感器融合精度不高的问题，实现运动员三维动作模型的精准生成与技术细节实时分析。</w:t>
      </w:r>
    </w:p>
    <w:p w14:paraId="6A280C75">
      <w:pPr>
        <w:spacing w:after="40"/>
        <w:ind w:firstLine="562" w:firstLineChars="200"/>
        <w:rPr>
          <w:lang w:eastAsia="zh-CN"/>
        </w:rPr>
      </w:pPr>
      <w:r>
        <w:rPr>
          <w:rFonts w:ascii="仿宋_GB2312" w:hAnsi="仿宋_GB2312" w:eastAsia="仿宋_GB2312"/>
          <w:b/>
          <w:lang w:eastAsia="zh-CN"/>
        </w:rPr>
        <w:t>2. 可穿戴</w:t>
      </w:r>
      <w:r>
        <w:rPr>
          <w:rStyle w:val="137"/>
          <w:rFonts w:hint="eastAsia" w:ascii="仿宋_GB2312" w:hAnsi="仿宋_GB2312" w:eastAsia="仿宋_GB2312"/>
          <w:b/>
          <w:sz w:val="28"/>
          <w:szCs w:val="22"/>
          <w:lang w:val="en-US" w:eastAsia="zh-CN"/>
        </w:rPr>
        <w:t>设备</w:t>
      </w:r>
      <w:r>
        <w:rPr>
          <w:rFonts w:ascii="仿宋_GB2312" w:hAnsi="仿宋_GB2312" w:eastAsia="仿宋_GB2312"/>
          <w:b/>
          <w:lang w:eastAsia="zh-CN"/>
        </w:rPr>
        <w:t>生理信号采集与运动损伤风险预警</w:t>
      </w:r>
    </w:p>
    <w:p w14:paraId="1D72D911">
      <w:pPr>
        <w:spacing w:after="120" w:line="360" w:lineRule="auto"/>
        <w:ind w:firstLine="520" w:firstLineChars="200"/>
        <w:rPr>
          <w:lang w:eastAsia="zh-CN"/>
        </w:rPr>
      </w:pPr>
      <w:r>
        <w:rPr>
          <w:color w:val="505050"/>
          <w:sz w:val="26"/>
          <w:lang w:eastAsia="zh-CN"/>
        </w:rPr>
        <w:t>解决可穿戴设备中心率、血氧、肌肉疲劳度、乳酸浓度等多模态生理信号的抗干扰采集问题，实现运动损伤风险的动态预警与训练负荷优化。</w:t>
      </w:r>
    </w:p>
    <w:p w14:paraId="59FE2582">
      <w:pPr>
        <w:spacing w:after="40"/>
        <w:ind w:firstLine="562" w:firstLineChars="200"/>
        <w:rPr>
          <w:lang w:eastAsia="zh-CN"/>
        </w:rPr>
      </w:pPr>
      <w:r>
        <w:rPr>
          <w:rFonts w:ascii="仿宋_GB2312" w:hAnsi="仿宋_GB2312" w:eastAsia="仿宋_GB2312"/>
          <w:b/>
          <w:lang w:eastAsia="zh-CN"/>
        </w:rPr>
        <w:t>3. "冠军模型"构建与个性化迁移适配</w:t>
      </w:r>
    </w:p>
    <w:p w14:paraId="05F1DF3F">
      <w:pPr>
        <w:spacing w:after="120" w:line="360" w:lineRule="auto"/>
        <w:ind w:firstLine="520" w:firstLineChars="200"/>
        <w:rPr>
          <w:lang w:eastAsia="zh-CN"/>
        </w:rPr>
      </w:pPr>
      <w:r>
        <w:rPr>
          <w:color w:val="505050"/>
          <w:sz w:val="26"/>
          <w:lang w:eastAsia="zh-CN"/>
        </w:rPr>
        <w:t>解决基于基因、体能、技术等多维异构数据构建"理想运动员"模型的问题，实现选材指导与个性化训练方案的精准适配。</w:t>
      </w:r>
    </w:p>
    <w:p w14:paraId="2B0E2065">
      <w:pPr>
        <w:spacing w:after="40"/>
        <w:ind w:firstLine="562" w:firstLineChars="200"/>
        <w:rPr>
          <w:lang w:eastAsia="zh-CN"/>
        </w:rPr>
      </w:pPr>
      <w:r>
        <w:rPr>
          <w:rFonts w:ascii="仿宋_GB2312" w:hAnsi="仿宋_GB2312" w:eastAsia="仿宋_GB2312"/>
          <w:b/>
          <w:lang w:eastAsia="zh-CN"/>
        </w:rPr>
        <w:t>4. 虚拟赛场环境多感官协同与</w:t>
      </w:r>
      <w:r>
        <w:rPr>
          <w:rFonts w:hint="eastAsia" w:ascii="仿宋_GB2312" w:hAnsi="仿宋_GB2312" w:eastAsia="仿宋_GB2312"/>
          <w:b/>
          <w:lang w:val="en-US" w:eastAsia="zh-CN"/>
        </w:rPr>
        <w:t>感知</w:t>
      </w:r>
      <w:r>
        <w:rPr>
          <w:rFonts w:ascii="仿宋_GB2312" w:hAnsi="仿宋_GB2312" w:eastAsia="仿宋_GB2312"/>
          <w:b/>
          <w:lang w:eastAsia="zh-CN"/>
        </w:rPr>
        <w:t>还原</w:t>
      </w:r>
    </w:p>
    <w:p w14:paraId="57FD987C">
      <w:pPr>
        <w:spacing w:after="120" w:line="360" w:lineRule="auto"/>
        <w:ind w:firstLine="520" w:firstLineChars="200"/>
        <w:rPr>
          <w:lang w:eastAsia="zh-CN"/>
        </w:rPr>
      </w:pPr>
      <w:r>
        <w:rPr>
          <w:color w:val="505050"/>
          <w:sz w:val="26"/>
          <w:lang w:eastAsia="zh-CN"/>
        </w:rPr>
        <w:t>解决滑雪、跳水</w:t>
      </w:r>
      <w:r>
        <w:rPr>
          <w:rFonts w:hint="eastAsia"/>
          <w:color w:val="505050"/>
          <w:sz w:val="26"/>
          <w:lang w:eastAsia="zh-CN"/>
        </w:rPr>
        <w:t>、射箭室外风场、帆船海域水流</w:t>
      </w:r>
      <w:r>
        <w:rPr>
          <w:color w:val="505050"/>
          <w:sz w:val="26"/>
          <w:lang w:eastAsia="zh-CN"/>
        </w:rPr>
        <w:t>等虚拟赛场环境中多感官协同与真实体感还原问题，提升运动员环境适应心理</w:t>
      </w:r>
      <w:r>
        <w:rPr>
          <w:rFonts w:hint="eastAsia"/>
          <w:color w:val="505050"/>
          <w:sz w:val="26"/>
          <w:lang w:val="en-US" w:eastAsia="zh-CN"/>
        </w:rPr>
        <w:t>韧性</w:t>
      </w:r>
      <w:r>
        <w:rPr>
          <w:color w:val="505050"/>
          <w:sz w:val="26"/>
          <w:lang w:eastAsia="zh-CN"/>
        </w:rPr>
        <w:t>。</w:t>
      </w:r>
    </w:p>
    <w:p w14:paraId="36CFA610">
      <w:pPr>
        <w:spacing w:before="160" w:after="80"/>
        <w:rPr>
          <w:lang w:eastAsia="zh-CN"/>
        </w:rPr>
      </w:pPr>
      <w:r>
        <w:rPr>
          <w:rFonts w:ascii="楷体" w:hAnsi="楷体" w:eastAsia="楷体"/>
          <w:b/>
          <w:sz w:val="30"/>
          <w:lang w:eastAsia="zh-CN"/>
        </w:rPr>
        <w:t>（二）赛事判罚与公平保障</w:t>
      </w:r>
    </w:p>
    <w:p w14:paraId="5722858F">
      <w:pPr>
        <w:spacing w:after="40"/>
        <w:ind w:firstLine="562" w:firstLineChars="200"/>
        <w:rPr>
          <w:lang w:eastAsia="zh-CN"/>
        </w:rPr>
      </w:pPr>
      <w:r>
        <w:rPr>
          <w:rFonts w:ascii="仿宋_GB2312" w:hAnsi="仿宋_GB2312" w:eastAsia="仿宋_GB2312"/>
          <w:b/>
          <w:lang w:eastAsia="zh-CN"/>
        </w:rPr>
        <w:t>5. 复杂赛场环境精准判罚技术</w:t>
      </w:r>
    </w:p>
    <w:p w14:paraId="34DD24AA">
      <w:pPr>
        <w:spacing w:after="120" w:line="360" w:lineRule="auto"/>
        <w:ind w:firstLine="520" w:firstLineChars="200"/>
        <w:rPr>
          <w:rFonts w:ascii="仿宋_GB2312" w:hAnsi="仿宋_GB2312" w:eastAsia="仿宋_GB2312"/>
          <w:b/>
          <w:lang w:eastAsia="zh-CN"/>
        </w:rPr>
      </w:pPr>
      <w:r>
        <w:rPr>
          <w:color w:val="505050"/>
          <w:sz w:val="26"/>
          <w:lang w:eastAsia="zh-CN"/>
        </w:rPr>
        <w:t>解决复杂赛场环境下鹰眼系统、VAR、门线技术的精度、抗干扰与实时运算问题，实现毫秒级精准判罚，减少人为误差。</w:t>
      </w:r>
    </w:p>
    <w:p w14:paraId="2F6E63CE">
      <w:pPr>
        <w:spacing w:after="40"/>
        <w:ind w:firstLine="562" w:firstLineChars="200"/>
        <w:rPr>
          <w:lang w:eastAsia="zh-CN"/>
        </w:rPr>
      </w:pPr>
      <w:r>
        <w:rPr>
          <w:rFonts w:ascii="仿宋_GB2312" w:hAnsi="仿宋_GB2312" w:eastAsia="仿宋_GB2312"/>
          <w:b/>
          <w:lang w:eastAsia="zh-CN"/>
        </w:rPr>
        <w:t>6. 反兴奋剂检测时效与精准识别</w:t>
      </w:r>
    </w:p>
    <w:p w14:paraId="38F7A1F7">
      <w:pPr>
        <w:spacing w:after="120" w:line="360" w:lineRule="auto"/>
        <w:ind w:firstLine="520" w:firstLineChars="200"/>
        <w:rPr>
          <w:color w:val="505050"/>
          <w:sz w:val="26"/>
          <w:lang w:eastAsia="zh-CN"/>
        </w:rPr>
      </w:pPr>
      <w:r>
        <w:rPr>
          <w:color w:val="505050"/>
          <w:sz w:val="26"/>
          <w:lang w:eastAsia="zh-CN"/>
        </w:rPr>
        <w:t>解决质谱检测、基因检测等反兴奋剂技术的识别精度、检测时效与误判防控问题，提升违禁药物筛查的覆盖面与准确性。</w:t>
      </w:r>
    </w:p>
    <w:p w14:paraId="7228442D">
      <w:pPr>
        <w:spacing w:after="40"/>
        <w:ind w:firstLine="562" w:firstLineChars="200"/>
        <w:rPr>
          <w:rFonts w:ascii="仿宋_GB2312" w:hAnsi="仿宋_GB2312" w:eastAsia="仿宋_GB2312"/>
          <w:b/>
          <w:lang w:eastAsia="zh-CN"/>
        </w:rPr>
      </w:pPr>
      <w:r>
        <w:rPr>
          <w:rFonts w:hint="eastAsia" w:ascii="仿宋_GB2312" w:hAnsi="仿宋_GB2312" w:eastAsia="仿宋_GB2312"/>
          <w:b/>
          <w:lang w:val="en-US" w:eastAsia="zh-CN"/>
        </w:rPr>
        <w:t>7</w:t>
      </w:r>
      <w:r>
        <w:rPr>
          <w:rFonts w:hint="eastAsia" w:ascii="仿宋_GB2312" w:hAnsi="仿宋_GB2312" w:eastAsia="仿宋_GB2312"/>
          <w:b/>
          <w:lang w:eastAsia="zh-CN"/>
        </w:rPr>
        <w:t xml:space="preserve">. </w:t>
      </w:r>
      <w:r>
        <w:rPr>
          <w:rFonts w:ascii="仿宋_GB2312" w:hAnsi="仿宋_GB2312" w:eastAsia="仿宋_GB2312"/>
          <w:b/>
          <w:lang w:eastAsia="zh-CN"/>
        </w:rPr>
        <w:t>智能评分与裁判辅助系统</w:t>
      </w:r>
    </w:p>
    <w:p w14:paraId="4B4962BB">
      <w:pPr>
        <w:spacing w:after="120" w:line="360" w:lineRule="auto"/>
        <w:ind w:firstLine="520" w:firstLineChars="200"/>
        <w:rPr>
          <w:color w:val="505050"/>
          <w:sz w:val="26"/>
          <w:highlight w:val="none"/>
          <w:lang w:eastAsia="zh-CN"/>
        </w:rPr>
      </w:pPr>
      <w:r>
        <w:rPr>
          <w:rFonts w:hint="eastAsia"/>
          <w:color w:val="505050"/>
          <w:sz w:val="26"/>
          <w:highlight w:val="none"/>
          <w:lang w:eastAsia="zh-CN"/>
        </w:rPr>
        <w:t>解决</w:t>
      </w:r>
      <w:r>
        <w:rPr>
          <w:color w:val="505050"/>
          <w:sz w:val="26"/>
          <w:highlight w:val="none"/>
          <w:lang w:eastAsia="zh-CN"/>
        </w:rPr>
        <w:t>花样滑冰、体操、跳水等项目评分</w:t>
      </w:r>
      <w:r>
        <w:rPr>
          <w:rFonts w:hint="eastAsia"/>
          <w:color w:val="505050"/>
          <w:sz w:val="26"/>
          <w:highlight w:val="none"/>
          <w:lang w:eastAsia="zh-CN"/>
        </w:rPr>
        <w:t>中的</w:t>
      </w:r>
      <w:r>
        <w:rPr>
          <w:color w:val="505050"/>
          <w:sz w:val="26"/>
          <w:highlight w:val="none"/>
          <w:lang w:eastAsia="zh-CN"/>
        </w:rPr>
        <w:t>主观</w:t>
      </w:r>
      <w:r>
        <w:rPr>
          <w:rFonts w:hint="eastAsia"/>
          <w:color w:val="505050"/>
          <w:sz w:val="26"/>
          <w:highlight w:val="none"/>
          <w:lang w:eastAsia="zh-CN"/>
        </w:rPr>
        <w:t>问题</w:t>
      </w:r>
      <w:r>
        <w:rPr>
          <w:color w:val="505050"/>
          <w:sz w:val="26"/>
          <w:highlight w:val="none"/>
          <w:lang w:eastAsia="zh-CN"/>
        </w:rPr>
        <w:t>，开发与国际竞赛规则衔接的AI辅助评分与模拟裁判系统</w:t>
      </w:r>
      <w:r>
        <w:rPr>
          <w:rFonts w:hint="eastAsia"/>
          <w:color w:val="505050"/>
          <w:sz w:val="26"/>
          <w:highlight w:val="none"/>
          <w:lang w:eastAsia="zh-CN"/>
        </w:rPr>
        <w:t>，</w:t>
      </w:r>
      <w:r>
        <w:rPr>
          <w:color w:val="505050"/>
          <w:sz w:val="26"/>
          <w:highlight w:val="none"/>
          <w:lang w:eastAsia="zh-CN"/>
        </w:rPr>
        <w:t>实现</w:t>
      </w:r>
      <w:r>
        <w:rPr>
          <w:rFonts w:hint="eastAsia"/>
          <w:color w:val="505050"/>
          <w:sz w:val="26"/>
          <w:highlight w:val="none"/>
          <w:lang w:eastAsia="zh-CN"/>
        </w:rPr>
        <w:t>动作完成</w:t>
      </w:r>
      <w:r>
        <w:rPr>
          <w:color w:val="505050"/>
          <w:sz w:val="26"/>
          <w:highlight w:val="none"/>
          <w:lang w:eastAsia="zh-CN"/>
        </w:rPr>
        <w:t>质量的量化评估</w:t>
      </w:r>
      <w:r>
        <w:rPr>
          <w:rFonts w:hint="eastAsia"/>
          <w:color w:val="505050"/>
          <w:sz w:val="26"/>
          <w:highlight w:val="none"/>
          <w:lang w:eastAsia="zh-CN"/>
        </w:rPr>
        <w:t>。</w:t>
      </w:r>
    </w:p>
    <w:p w14:paraId="0F0D4930">
      <w:pPr>
        <w:spacing w:before="160" w:after="80"/>
        <w:rPr>
          <w:lang w:eastAsia="zh-CN"/>
        </w:rPr>
      </w:pPr>
      <w:r>
        <w:rPr>
          <w:rFonts w:ascii="楷体" w:hAnsi="楷体" w:eastAsia="楷体"/>
          <w:b/>
          <w:sz w:val="30"/>
          <w:lang w:eastAsia="zh-CN"/>
        </w:rPr>
        <w:t>（三）赛事运行与观赛体验</w:t>
      </w:r>
    </w:p>
    <w:p w14:paraId="0BBD82B8">
      <w:pPr>
        <w:spacing w:after="40"/>
        <w:ind w:firstLine="562" w:firstLineChars="200"/>
        <w:rPr>
          <w:lang w:eastAsia="zh-CN"/>
        </w:rPr>
      </w:pPr>
      <w:r>
        <w:rPr>
          <w:rFonts w:hint="eastAsia" w:ascii="仿宋_GB2312" w:hAnsi="仿宋_GB2312" w:eastAsia="仿宋_GB2312"/>
          <w:b/>
          <w:lang w:val="en-US" w:eastAsia="zh-CN"/>
        </w:rPr>
        <w:t>8</w:t>
      </w:r>
      <w:r>
        <w:rPr>
          <w:rFonts w:ascii="仿宋_GB2312" w:hAnsi="仿宋_GB2312" w:eastAsia="仿宋_GB2312"/>
          <w:b/>
          <w:lang w:eastAsia="zh-CN"/>
        </w:rPr>
        <w:t>. 5G+8K超高清直播低时延传输</w:t>
      </w:r>
    </w:p>
    <w:p w14:paraId="004C7CE1">
      <w:pPr>
        <w:spacing w:after="120" w:line="360" w:lineRule="auto"/>
        <w:ind w:firstLine="520" w:firstLineChars="200"/>
        <w:rPr>
          <w:lang w:eastAsia="zh-CN"/>
        </w:rPr>
      </w:pPr>
      <w:r>
        <w:rPr>
          <w:color w:val="505050"/>
          <w:sz w:val="26"/>
          <w:lang w:eastAsia="zh-CN"/>
        </w:rPr>
        <w:t>解决5G+8K超高清直播中的带宽压力、低时延保障与多视角同步调度问题，支持多视角、慢动作回放的高清呈现。</w:t>
      </w:r>
    </w:p>
    <w:p w14:paraId="115F616A">
      <w:pPr>
        <w:spacing w:after="40"/>
        <w:ind w:firstLine="562" w:firstLineChars="200"/>
        <w:rPr>
          <w:lang w:eastAsia="zh-CN"/>
        </w:rPr>
      </w:pPr>
      <w:r>
        <w:rPr>
          <w:rFonts w:hint="eastAsia" w:ascii="仿宋_GB2312" w:hAnsi="仿宋_GB2312" w:eastAsia="仿宋_GB2312"/>
          <w:b/>
          <w:lang w:val="en-US" w:eastAsia="zh-CN"/>
        </w:rPr>
        <w:t>9</w:t>
      </w:r>
      <w:r>
        <w:rPr>
          <w:rFonts w:ascii="仿宋_GB2312" w:hAnsi="仿宋_GB2312" w:eastAsia="仿宋_GB2312"/>
          <w:b/>
          <w:lang w:eastAsia="zh-CN"/>
        </w:rPr>
        <w:t>. AI个性化转播与智能内容生成</w:t>
      </w:r>
    </w:p>
    <w:p w14:paraId="1328D04A">
      <w:pPr>
        <w:spacing w:after="120" w:line="360" w:lineRule="auto"/>
        <w:ind w:firstLine="520" w:firstLineChars="200"/>
        <w:rPr>
          <w:lang w:eastAsia="zh-CN"/>
        </w:rPr>
      </w:pPr>
      <w:r>
        <w:rPr>
          <w:color w:val="505050"/>
          <w:sz w:val="26"/>
          <w:lang w:eastAsia="zh-CN"/>
        </w:rPr>
        <w:t>解决AI个性化转播中用户偏好精准建模、赛事关键事件智能识别与多类型内容自动生成的准确性问题。</w:t>
      </w:r>
    </w:p>
    <w:p w14:paraId="1FCB723F">
      <w:pPr>
        <w:spacing w:after="40"/>
        <w:ind w:firstLine="562" w:firstLineChars="200"/>
        <w:rPr>
          <w:lang w:eastAsia="zh-CN"/>
        </w:rPr>
      </w:pPr>
      <w:r>
        <w:rPr>
          <w:rFonts w:hint="eastAsia" w:ascii="仿宋_GB2312" w:hAnsi="仿宋_GB2312" w:eastAsia="仿宋_GB2312"/>
          <w:b/>
          <w:lang w:val="en-US" w:eastAsia="zh-CN"/>
        </w:rPr>
        <w:t>10</w:t>
      </w:r>
      <w:r>
        <w:rPr>
          <w:rFonts w:ascii="仿宋_GB2312" w:hAnsi="仿宋_GB2312" w:eastAsia="仿宋_GB2312"/>
          <w:b/>
          <w:lang w:eastAsia="zh-CN"/>
        </w:rPr>
        <w:t>. VR/AR/元宇宙沉浸式观赛技术</w:t>
      </w:r>
    </w:p>
    <w:p w14:paraId="5AEA8BDF">
      <w:pPr>
        <w:spacing w:after="120" w:line="360" w:lineRule="auto"/>
        <w:ind w:firstLine="520" w:firstLineChars="200"/>
        <w:rPr>
          <w:lang w:eastAsia="zh-CN"/>
        </w:rPr>
      </w:pPr>
      <w:r>
        <w:rPr>
          <w:color w:val="505050"/>
          <w:sz w:val="26"/>
          <w:lang w:eastAsia="zh-CN"/>
        </w:rPr>
        <w:t>解决沉浸式观赛技术中虚实融合场景渲染算力开销大、终端适配差异与交互体验一致性问题。</w:t>
      </w:r>
    </w:p>
    <w:p w14:paraId="7304C3C6">
      <w:pPr>
        <w:spacing w:before="160" w:after="80"/>
        <w:rPr>
          <w:lang w:eastAsia="zh-CN"/>
        </w:rPr>
      </w:pPr>
      <w:r>
        <w:rPr>
          <w:rFonts w:ascii="楷体" w:hAnsi="楷体" w:eastAsia="楷体"/>
          <w:b/>
          <w:sz w:val="30"/>
          <w:lang w:eastAsia="zh-CN"/>
        </w:rPr>
        <w:t>（四）其他</w:t>
      </w:r>
    </w:p>
    <w:p w14:paraId="18D77400">
      <w:pPr>
        <w:spacing w:after="40"/>
        <w:ind w:firstLine="562" w:firstLineChars="200"/>
        <w:rPr>
          <w:lang w:eastAsia="zh-CN"/>
        </w:rPr>
      </w:pPr>
      <w:r>
        <w:rPr>
          <w:rFonts w:ascii="仿宋_GB2312" w:hAnsi="仿宋_GB2312" w:eastAsia="仿宋_GB2312"/>
          <w:b/>
          <w:lang w:eastAsia="zh-CN"/>
        </w:rPr>
        <w:t>1</w:t>
      </w:r>
      <w:r>
        <w:rPr>
          <w:rFonts w:hint="eastAsia" w:ascii="仿宋_GB2312" w:hAnsi="仿宋_GB2312" w:eastAsia="仿宋_GB2312"/>
          <w:b/>
          <w:lang w:val="en-US" w:eastAsia="zh-CN"/>
        </w:rPr>
        <w:t>1</w:t>
      </w:r>
      <w:r>
        <w:rPr>
          <w:rFonts w:ascii="仿宋_GB2312" w:hAnsi="仿宋_GB2312" w:eastAsia="仿宋_GB2312"/>
          <w:b/>
          <w:lang w:eastAsia="zh-CN"/>
        </w:rPr>
        <w:t>. 区块链在体育资金流合规与确权中的应用</w:t>
      </w:r>
    </w:p>
    <w:p w14:paraId="1C89DB3A">
      <w:pPr>
        <w:spacing w:after="120" w:line="360" w:lineRule="auto"/>
        <w:ind w:firstLine="520" w:firstLineChars="200"/>
        <w:rPr>
          <w:lang w:eastAsia="zh-CN"/>
        </w:rPr>
      </w:pPr>
      <w:r>
        <w:rPr>
          <w:color w:val="505050"/>
          <w:sz w:val="26"/>
          <w:lang w:eastAsia="zh-CN"/>
        </w:rPr>
        <w:t>应用区块链技术保障体育领域</w:t>
      </w:r>
      <w:r>
        <w:rPr>
          <w:rFonts w:hint="eastAsia"/>
          <w:color w:val="505050"/>
          <w:sz w:val="26"/>
          <w:lang w:val="en-US" w:eastAsia="zh-CN"/>
        </w:rPr>
        <w:t>保险</w:t>
      </w:r>
      <w:r>
        <w:rPr>
          <w:color w:val="505050"/>
          <w:sz w:val="26"/>
          <w:lang w:eastAsia="zh-CN"/>
        </w:rPr>
        <w:t>等资金流的合规与不可篡改，实现资产确权与可追溯流通。</w:t>
      </w:r>
    </w:p>
    <w:p w14:paraId="0BAB6B33">
      <w:pPr>
        <w:spacing w:before="240" w:after="120"/>
        <w:rPr>
          <w:lang w:eastAsia="zh-CN"/>
        </w:rPr>
      </w:pPr>
      <w:r>
        <w:rPr>
          <w:rFonts w:ascii="黑体" w:hAnsi="黑体" w:eastAsia="黑体"/>
          <w:b/>
          <w:sz w:val="32"/>
          <w:lang w:eastAsia="zh-CN"/>
        </w:rPr>
        <w:t>二、高科技体育用品</w:t>
      </w:r>
    </w:p>
    <w:p w14:paraId="4A3C3F9F">
      <w:pPr>
        <w:spacing w:before="160" w:after="80"/>
        <w:rPr>
          <w:lang w:eastAsia="zh-CN"/>
        </w:rPr>
      </w:pPr>
      <w:r>
        <w:rPr>
          <w:rFonts w:ascii="楷体" w:hAnsi="楷体" w:eastAsia="楷体"/>
          <w:b/>
          <w:sz w:val="30"/>
          <w:lang w:eastAsia="zh-CN"/>
        </w:rPr>
        <w:t>（一）高科技运动专项器材和装备</w:t>
      </w:r>
    </w:p>
    <w:p w14:paraId="0461842B">
      <w:pPr>
        <w:spacing w:after="40"/>
        <w:ind w:firstLine="562" w:firstLineChars="200"/>
        <w:rPr>
          <w:rFonts w:ascii="仿宋_GB2312" w:hAnsi="仿宋_GB2312" w:eastAsia="仿宋_GB2312"/>
          <w:b/>
          <w:lang w:eastAsia="zh-CN"/>
        </w:rPr>
      </w:pPr>
      <w:r>
        <w:rPr>
          <w:rFonts w:ascii="仿宋_GB2312" w:hAnsi="仿宋_GB2312" w:eastAsia="仿宋_GB2312"/>
          <w:b/>
          <w:lang w:eastAsia="zh-CN"/>
        </w:rPr>
        <w:t xml:space="preserve">12. </w:t>
      </w:r>
      <w:r>
        <w:rPr>
          <w:rFonts w:hint="eastAsia" w:ascii="仿宋_GB2312" w:hAnsi="仿宋_GB2312" w:eastAsia="仿宋_GB2312"/>
          <w:b/>
          <w:lang w:eastAsia="zh-CN"/>
        </w:rPr>
        <w:t>碳纤维高端运动器材与防护装备国产替代</w:t>
      </w:r>
    </w:p>
    <w:p w14:paraId="2C180B16">
      <w:pPr>
        <w:spacing w:after="120" w:line="360" w:lineRule="auto"/>
        <w:ind w:firstLine="520" w:firstLineChars="200"/>
        <w:rPr>
          <w:lang w:eastAsia="zh-CN"/>
        </w:rPr>
      </w:pPr>
      <w:r>
        <w:rPr>
          <w:color w:val="505050"/>
          <w:sz w:val="26"/>
          <w:lang w:eastAsia="zh-CN"/>
        </w:rPr>
        <w:t>解决碳纤维高端关键零部件与特种基材对外依存度高、产学研用落地难的问题，推动国产碳纤维在高端运动器材中的规模化应用。</w:t>
      </w:r>
    </w:p>
    <w:p w14:paraId="316E1DF0">
      <w:pPr>
        <w:spacing w:after="40"/>
        <w:ind w:firstLine="562" w:firstLineChars="200"/>
        <w:rPr>
          <w:lang w:eastAsia="zh-CN"/>
        </w:rPr>
      </w:pPr>
      <w:r>
        <w:rPr>
          <w:rFonts w:ascii="仿宋_GB2312" w:hAnsi="仿宋_GB2312" w:eastAsia="仿宋_GB2312"/>
          <w:b/>
          <w:lang w:eastAsia="zh-CN"/>
        </w:rPr>
        <w:t>13. 仿生功能材料与特种面料性能攻关</w:t>
      </w:r>
    </w:p>
    <w:p w14:paraId="687F5CF2">
      <w:pPr>
        <w:spacing w:after="120" w:line="360" w:lineRule="auto"/>
        <w:ind w:firstLine="520" w:firstLineChars="200"/>
        <w:rPr>
          <w:lang w:eastAsia="zh-CN"/>
        </w:rPr>
      </w:pPr>
      <w:r>
        <w:rPr>
          <w:color w:val="505050"/>
          <w:sz w:val="26"/>
          <w:lang w:eastAsia="zh-CN"/>
        </w:rPr>
        <w:t>解决仿生功能材料与特种面料性能攻关与赛事公平规则平衡的双重约束问题，提升运动装备的减阻、速干、回弹等性能。</w:t>
      </w:r>
    </w:p>
    <w:p w14:paraId="791DAB2B">
      <w:pPr>
        <w:spacing w:after="40"/>
        <w:ind w:firstLine="562" w:firstLineChars="200"/>
        <w:rPr>
          <w:lang w:eastAsia="zh-CN"/>
        </w:rPr>
      </w:pPr>
      <w:r>
        <w:rPr>
          <w:rFonts w:ascii="仿宋_GB2312" w:hAnsi="仿宋_GB2312" w:eastAsia="仿宋_GB2312"/>
          <w:b/>
          <w:lang w:eastAsia="zh-CN"/>
        </w:rPr>
        <w:t>14. 智能器材传感可靠性与数据精度提升</w:t>
      </w:r>
    </w:p>
    <w:p w14:paraId="023C891C">
      <w:pPr>
        <w:spacing w:after="120" w:line="360" w:lineRule="auto"/>
        <w:ind w:firstLine="520" w:firstLineChars="200"/>
        <w:rPr>
          <w:lang w:eastAsia="zh-CN"/>
        </w:rPr>
      </w:pPr>
      <w:r>
        <w:rPr>
          <w:color w:val="505050"/>
          <w:sz w:val="26"/>
          <w:lang w:eastAsia="zh-CN"/>
        </w:rPr>
        <w:t>解决智能球拍、智能球、智能鞋等智能器材在运动场景下传感可靠性与数据精度不足的问题，降低软件授权成本，完善回收机制。</w:t>
      </w:r>
    </w:p>
    <w:p w14:paraId="6764ADA5">
      <w:pPr>
        <w:spacing w:after="40"/>
        <w:ind w:firstLine="562" w:firstLineChars="200"/>
        <w:rPr>
          <w:lang w:eastAsia="zh-CN"/>
        </w:rPr>
      </w:pPr>
      <w:r>
        <w:rPr>
          <w:rFonts w:ascii="仿宋_GB2312" w:hAnsi="仿宋_GB2312" w:eastAsia="仿宋_GB2312"/>
          <w:b/>
          <w:lang w:eastAsia="zh-CN"/>
        </w:rPr>
        <w:t>15. 新型体育器材关键材料突破与协同创新</w:t>
      </w:r>
    </w:p>
    <w:p w14:paraId="1C666ECF">
      <w:pPr>
        <w:spacing w:after="120" w:line="360" w:lineRule="auto"/>
        <w:ind w:firstLine="520" w:firstLineChars="200"/>
        <w:rPr>
          <w:lang w:eastAsia="zh-CN"/>
        </w:rPr>
      </w:pPr>
      <w:r>
        <w:rPr>
          <w:color w:val="505050"/>
          <w:sz w:val="26"/>
          <w:lang w:eastAsia="zh-CN"/>
        </w:rPr>
        <w:t>解决新型地胶材料、碳纤维体操器材</w:t>
      </w:r>
      <w:r>
        <w:rPr>
          <w:rFonts w:hint="eastAsia"/>
          <w:color w:val="505050"/>
          <w:sz w:val="26"/>
          <w:lang w:eastAsia="zh-CN"/>
        </w:rPr>
        <w:t>、</w:t>
      </w:r>
      <w:r>
        <w:rPr>
          <w:rFonts w:hint="eastAsia"/>
          <w:color w:val="505050"/>
          <w:sz w:val="26"/>
          <w:lang w:val="en-US" w:eastAsia="zh-CN"/>
        </w:rPr>
        <w:t>碳纤维自行车器材、碳纤维滑雪板</w:t>
      </w:r>
      <w:r>
        <w:rPr>
          <w:color w:val="505050"/>
          <w:sz w:val="26"/>
          <w:lang w:eastAsia="zh-CN"/>
        </w:rPr>
        <w:t>等关键材料受海外专利限制、国产替代</w:t>
      </w:r>
      <w:r>
        <w:rPr>
          <w:rStyle w:val="137"/>
          <w:rFonts w:hint="eastAsia"/>
          <w:color w:val="505050"/>
          <w:sz w:val="26"/>
          <w:szCs w:val="22"/>
          <w:lang w:val="en-US" w:eastAsia="zh-CN"/>
        </w:rPr>
        <w:t>产品</w:t>
      </w:r>
      <w:r>
        <w:rPr>
          <w:color w:val="505050"/>
          <w:sz w:val="26"/>
          <w:lang w:eastAsia="zh-CN"/>
        </w:rPr>
        <w:t>性能存差距的问题，建立协同创新机制，缩短研发周期。</w:t>
      </w:r>
    </w:p>
    <w:p w14:paraId="20B5B9D7">
      <w:pPr>
        <w:spacing w:before="160" w:after="80"/>
        <w:rPr>
          <w:lang w:eastAsia="zh-CN"/>
        </w:rPr>
      </w:pPr>
      <w:r>
        <w:rPr>
          <w:rFonts w:ascii="楷体" w:hAnsi="楷体" w:eastAsia="楷体"/>
          <w:b/>
          <w:sz w:val="30"/>
          <w:lang w:eastAsia="zh-CN"/>
        </w:rPr>
        <w:t>（二）智能健身器材</w:t>
      </w:r>
    </w:p>
    <w:p w14:paraId="76A7413F">
      <w:pPr>
        <w:spacing w:after="40"/>
        <w:ind w:firstLine="562" w:firstLineChars="200"/>
        <w:rPr>
          <w:lang w:eastAsia="zh-CN"/>
        </w:rPr>
      </w:pPr>
      <w:r>
        <w:rPr>
          <w:rFonts w:ascii="仿宋_GB2312" w:hAnsi="仿宋_GB2312" w:eastAsia="仿宋_GB2312"/>
          <w:b/>
          <w:lang w:eastAsia="zh-CN"/>
        </w:rPr>
        <w:t>16. 按摩机芯力度自适应调节技术</w:t>
      </w:r>
    </w:p>
    <w:p w14:paraId="097F0D6B">
      <w:pPr>
        <w:spacing w:after="120" w:line="360" w:lineRule="auto"/>
        <w:ind w:firstLine="520" w:firstLineChars="200"/>
        <w:rPr>
          <w:lang w:eastAsia="zh-CN"/>
        </w:rPr>
      </w:pPr>
      <w:r>
        <w:rPr>
          <w:color w:val="505050"/>
          <w:sz w:val="26"/>
          <w:lang w:eastAsia="zh-CN"/>
        </w:rPr>
        <w:t>解决4D按摩机芯无法检测按摩力度、无法实现自适应调节的问题，实现力度实时反馈与精准控制。</w:t>
      </w:r>
    </w:p>
    <w:p w14:paraId="6A327B57">
      <w:pPr>
        <w:spacing w:after="40"/>
        <w:ind w:firstLine="562" w:firstLineChars="200"/>
        <w:rPr>
          <w:lang w:eastAsia="zh-CN"/>
        </w:rPr>
      </w:pPr>
      <w:r>
        <w:rPr>
          <w:rFonts w:ascii="仿宋_GB2312" w:hAnsi="仿宋_GB2312" w:eastAsia="仿宋_GB2312"/>
          <w:b/>
          <w:lang w:eastAsia="zh-CN"/>
        </w:rPr>
        <w:t>17. 健身器材适老化与适小化设计</w:t>
      </w:r>
    </w:p>
    <w:p w14:paraId="2DB29EA9">
      <w:pPr>
        <w:spacing w:after="120" w:line="360" w:lineRule="auto"/>
        <w:ind w:firstLine="520" w:firstLineChars="200"/>
        <w:rPr>
          <w:lang w:eastAsia="zh-CN"/>
        </w:rPr>
      </w:pPr>
      <w:r>
        <w:rPr>
          <w:color w:val="505050"/>
          <w:sz w:val="26"/>
          <w:lang w:eastAsia="zh-CN"/>
        </w:rPr>
        <w:t>解决健身器材适老/适小化设计不足、老年群体智能设备操作门槛高的问题，降低操作复杂度，提升安全性。</w:t>
      </w:r>
    </w:p>
    <w:p w14:paraId="387D7C02">
      <w:pPr>
        <w:spacing w:after="40"/>
        <w:ind w:firstLine="562" w:firstLineChars="200"/>
        <w:rPr>
          <w:lang w:eastAsia="zh-CN"/>
        </w:rPr>
      </w:pPr>
      <w:r>
        <w:rPr>
          <w:rFonts w:ascii="仿宋_GB2312" w:hAnsi="仿宋_GB2312" w:eastAsia="仿宋_GB2312"/>
          <w:b/>
          <w:lang w:eastAsia="zh-CN"/>
        </w:rPr>
        <w:t>18. 智能健身器材核心部件国产</w:t>
      </w:r>
      <w:r>
        <w:rPr>
          <w:rFonts w:hint="eastAsia" w:ascii="仿宋_GB2312" w:hAnsi="仿宋_GB2312" w:eastAsia="仿宋_GB2312"/>
          <w:b/>
          <w:lang w:val="en-US" w:eastAsia="zh-CN"/>
        </w:rPr>
        <w:t>化</w:t>
      </w:r>
    </w:p>
    <w:p w14:paraId="410B1E8F">
      <w:pPr>
        <w:spacing w:after="120" w:line="360" w:lineRule="auto"/>
        <w:ind w:firstLine="520" w:firstLineChars="200"/>
        <w:rPr>
          <w:lang w:eastAsia="zh-CN"/>
        </w:rPr>
      </w:pPr>
      <w:r>
        <w:rPr>
          <w:color w:val="505050"/>
          <w:sz w:val="26"/>
          <w:lang w:eastAsia="zh-CN"/>
        </w:rPr>
        <w:t>解决传感器、芯片、轻量化材料等核心部件依赖进口的问题，实现UWP超光频定位等核心技术国产化。</w:t>
      </w:r>
    </w:p>
    <w:p w14:paraId="62A038E0">
      <w:pPr>
        <w:spacing w:after="40"/>
        <w:ind w:firstLine="562" w:firstLineChars="200"/>
        <w:rPr>
          <w:lang w:eastAsia="zh-CN"/>
        </w:rPr>
      </w:pPr>
      <w:r>
        <w:rPr>
          <w:rFonts w:ascii="仿宋_GB2312" w:hAnsi="仿宋_GB2312" w:eastAsia="仿宋_GB2312"/>
          <w:b/>
          <w:lang w:eastAsia="zh-CN"/>
        </w:rPr>
        <w:t>19. 非标准动作AI识别精度与成本控制</w:t>
      </w:r>
    </w:p>
    <w:p w14:paraId="37B2DCEA">
      <w:pPr>
        <w:spacing w:after="120" w:line="360" w:lineRule="auto"/>
        <w:ind w:firstLine="520" w:firstLineChars="200"/>
        <w:rPr>
          <w:lang w:eastAsia="zh-CN"/>
        </w:rPr>
      </w:pPr>
      <w:r>
        <w:rPr>
          <w:color w:val="505050"/>
          <w:sz w:val="26"/>
          <w:lang w:eastAsia="zh-CN"/>
        </w:rPr>
        <w:t>解决低成本传感器误差大、AI模型对非标准动作识别精度不足的问题，在价格战背景下实现技术提升与成本控制的平衡。</w:t>
      </w:r>
    </w:p>
    <w:p w14:paraId="63D1DA4B">
      <w:pPr>
        <w:spacing w:before="160" w:after="80"/>
        <w:rPr>
          <w:lang w:eastAsia="zh-CN"/>
        </w:rPr>
      </w:pPr>
      <w:r>
        <w:rPr>
          <w:rFonts w:ascii="楷体" w:hAnsi="楷体" w:eastAsia="楷体"/>
          <w:b/>
          <w:sz w:val="30"/>
          <w:lang w:eastAsia="zh-CN"/>
        </w:rPr>
        <w:t>（三）可穿戴设备</w:t>
      </w:r>
    </w:p>
    <w:p w14:paraId="04B04E8F">
      <w:pPr>
        <w:spacing w:after="40"/>
        <w:ind w:firstLine="562" w:firstLineChars="200"/>
        <w:rPr>
          <w:lang w:eastAsia="zh-CN"/>
        </w:rPr>
      </w:pPr>
      <w:r>
        <w:rPr>
          <w:rFonts w:ascii="仿宋_GB2312" w:hAnsi="仿宋_GB2312" w:eastAsia="仿宋_GB2312"/>
          <w:b/>
          <w:lang w:eastAsia="zh-CN"/>
        </w:rPr>
        <w:t>20. 跨场景健康指标准制定</w:t>
      </w:r>
    </w:p>
    <w:p w14:paraId="7AC27938">
      <w:pPr>
        <w:spacing w:after="120" w:line="360" w:lineRule="auto"/>
        <w:ind w:firstLine="520" w:firstLineChars="200"/>
        <w:rPr>
          <w:lang w:eastAsia="zh-CN"/>
        </w:rPr>
      </w:pPr>
      <w:r>
        <w:rPr>
          <w:color w:val="505050"/>
          <w:sz w:val="26"/>
          <w:lang w:eastAsia="zh-CN"/>
        </w:rPr>
        <w:t>解决统一健康指标标准缺失问题，联合产业链企业共同制定跑鞋损耗判定等大众运动相关的统一技术指标。</w:t>
      </w:r>
    </w:p>
    <w:p w14:paraId="11B15F2B">
      <w:pPr>
        <w:spacing w:after="40"/>
        <w:ind w:firstLine="562" w:firstLineChars="200"/>
        <w:rPr>
          <w:rFonts w:hint="default"/>
          <w:lang w:val="en-US" w:eastAsia="zh-CN"/>
        </w:rPr>
      </w:pPr>
      <w:r>
        <w:rPr>
          <w:rFonts w:ascii="仿宋_GB2312" w:hAnsi="仿宋_GB2312" w:eastAsia="仿宋_GB2312"/>
          <w:b/>
          <w:lang w:eastAsia="zh-CN"/>
        </w:rPr>
        <w:t>21. 可穿戴设备核心元器件国产</w:t>
      </w:r>
      <w:r>
        <w:rPr>
          <w:rFonts w:hint="eastAsia" w:ascii="仿宋_GB2312" w:hAnsi="仿宋_GB2312" w:eastAsia="仿宋_GB2312"/>
          <w:b/>
          <w:lang w:val="en-US" w:eastAsia="zh-CN"/>
        </w:rPr>
        <w:t>化</w:t>
      </w:r>
    </w:p>
    <w:p w14:paraId="5C9CB7FB">
      <w:pPr>
        <w:spacing w:after="120" w:line="360" w:lineRule="auto"/>
        <w:ind w:firstLine="520" w:firstLineChars="200"/>
        <w:rPr>
          <w:lang w:eastAsia="zh-CN"/>
        </w:rPr>
      </w:pPr>
      <w:r>
        <w:rPr>
          <w:color w:val="505050"/>
          <w:sz w:val="26"/>
          <w:lang w:eastAsia="zh-CN"/>
        </w:rPr>
        <w:t>解决可穿戴设备核心元器件进口依赖问题，提升水上项目等特殊场景传感监控设备的国产化水平。</w:t>
      </w:r>
    </w:p>
    <w:p w14:paraId="034AFD57">
      <w:pPr>
        <w:spacing w:after="40"/>
        <w:ind w:firstLine="562" w:firstLineChars="200"/>
        <w:rPr>
          <w:lang w:eastAsia="zh-CN"/>
        </w:rPr>
      </w:pPr>
      <w:r>
        <w:rPr>
          <w:rFonts w:ascii="仿宋_GB2312" w:hAnsi="仿宋_GB2312" w:eastAsia="仿宋_GB2312"/>
          <w:b/>
          <w:lang w:eastAsia="zh-CN"/>
        </w:rPr>
        <w:t>22. 体育装备国际</w:t>
      </w:r>
      <w:r>
        <w:rPr>
          <w:rFonts w:hint="eastAsia" w:ascii="仿宋_GB2312" w:hAnsi="仿宋_GB2312" w:eastAsia="仿宋_GB2312"/>
          <w:b/>
          <w:lang w:val="en-US" w:eastAsia="zh-CN"/>
        </w:rPr>
        <w:t>标准</w:t>
      </w:r>
      <w:r>
        <w:rPr>
          <w:rFonts w:ascii="仿宋_GB2312" w:hAnsi="仿宋_GB2312" w:eastAsia="仿宋_GB2312"/>
          <w:b/>
          <w:lang w:eastAsia="zh-CN"/>
        </w:rPr>
        <w:t>认证体系对接</w:t>
      </w:r>
    </w:p>
    <w:p w14:paraId="6EE5AE52">
      <w:pPr>
        <w:spacing w:after="120" w:line="360" w:lineRule="auto"/>
        <w:ind w:firstLine="520" w:firstLineChars="200"/>
        <w:rPr>
          <w:lang w:eastAsia="zh-CN"/>
        </w:rPr>
      </w:pPr>
      <w:r>
        <w:rPr>
          <w:color w:val="505050"/>
          <w:sz w:val="26"/>
          <w:lang w:eastAsia="zh-CN"/>
        </w:rPr>
        <w:t>解决产品国际认证（FIFA、World Athletics等）周期长、成本高的问题，建立国内权威认证体系与国际对接机制。</w:t>
      </w:r>
    </w:p>
    <w:p w14:paraId="7C5D7713">
      <w:pPr>
        <w:spacing w:after="40"/>
        <w:ind w:firstLine="562" w:firstLineChars="200"/>
        <w:rPr>
          <w:lang w:eastAsia="zh-CN"/>
        </w:rPr>
      </w:pPr>
      <w:r>
        <w:rPr>
          <w:rFonts w:ascii="仿宋_GB2312" w:hAnsi="仿宋_GB2312" w:eastAsia="仿宋_GB2312"/>
          <w:b/>
          <w:lang w:eastAsia="zh-CN"/>
        </w:rPr>
        <w:t>23. 商用场景运动数据闭环构建</w:t>
      </w:r>
    </w:p>
    <w:p w14:paraId="28AE0B6A">
      <w:pPr>
        <w:spacing w:after="120" w:line="360" w:lineRule="auto"/>
        <w:ind w:firstLine="520" w:firstLineChars="200"/>
        <w:rPr>
          <w:lang w:eastAsia="zh-CN"/>
        </w:rPr>
      </w:pPr>
      <w:r>
        <w:rPr>
          <w:color w:val="505050"/>
          <w:sz w:val="26"/>
          <w:lang w:eastAsia="zh-CN"/>
        </w:rPr>
        <w:t>解决商用场景下有氧与无氧力量产品运动数据打通问题，形成"评估—训练—反馈—调整"的数据闭环。</w:t>
      </w:r>
    </w:p>
    <w:p w14:paraId="37F8B08F">
      <w:pPr>
        <w:spacing w:before="160" w:after="80"/>
        <w:rPr>
          <w:lang w:eastAsia="zh-CN"/>
        </w:rPr>
      </w:pPr>
      <w:r>
        <w:rPr>
          <w:rFonts w:ascii="楷体" w:hAnsi="楷体" w:eastAsia="楷体"/>
          <w:b/>
          <w:sz w:val="30"/>
          <w:lang w:eastAsia="zh-CN"/>
        </w:rPr>
        <w:t>（四）其他</w:t>
      </w:r>
    </w:p>
    <w:p w14:paraId="5A9A29A0">
      <w:pPr>
        <w:spacing w:after="40"/>
        <w:ind w:firstLine="562" w:firstLineChars="200"/>
        <w:rPr>
          <w:lang w:eastAsia="zh-CN"/>
        </w:rPr>
      </w:pPr>
      <w:r>
        <w:rPr>
          <w:rFonts w:ascii="仿宋_GB2312" w:hAnsi="仿宋_GB2312" w:eastAsia="仿宋_GB2312"/>
          <w:b/>
          <w:lang w:eastAsia="zh-CN"/>
        </w:rPr>
        <w:t>24. 智能健身设备用户粘性提升</w:t>
      </w:r>
    </w:p>
    <w:p w14:paraId="673BCA7F">
      <w:pPr>
        <w:spacing w:after="120" w:line="360" w:lineRule="auto"/>
        <w:ind w:firstLine="520" w:firstLineChars="200"/>
        <w:rPr>
          <w:lang w:eastAsia="zh-CN"/>
        </w:rPr>
      </w:pPr>
      <w:r>
        <w:rPr>
          <w:color w:val="505050"/>
          <w:sz w:val="26"/>
          <w:lang w:eastAsia="zh-CN"/>
        </w:rPr>
        <w:t>解决智能健身设备购买后闲置率高、用户粘性低的问题，提升产品续费率与长期使用价值。</w:t>
      </w:r>
    </w:p>
    <w:p w14:paraId="7BD44F23">
      <w:pPr>
        <w:spacing w:after="40"/>
        <w:ind w:firstLine="562" w:firstLineChars="200"/>
        <w:rPr>
          <w:lang w:eastAsia="zh-CN"/>
        </w:rPr>
      </w:pPr>
      <w:r>
        <w:rPr>
          <w:rFonts w:ascii="仿宋_GB2312" w:hAnsi="仿宋_GB2312" w:eastAsia="仿宋_GB2312"/>
          <w:b/>
          <w:lang w:eastAsia="zh-CN"/>
        </w:rPr>
        <w:t>25. 声音技术</w:t>
      </w:r>
      <w:r>
        <w:rPr>
          <w:rStyle w:val="137"/>
          <w:rFonts w:hint="eastAsia" w:ascii="仿宋_GB2312" w:hAnsi="仿宋_GB2312" w:eastAsia="仿宋_GB2312"/>
          <w:b/>
          <w:sz w:val="28"/>
          <w:szCs w:val="22"/>
          <w:lang w:val="en-US" w:eastAsia="zh-CN"/>
        </w:rPr>
        <w:t>研发与</w:t>
      </w:r>
      <w:r>
        <w:rPr>
          <w:rFonts w:ascii="仿宋_GB2312" w:hAnsi="仿宋_GB2312" w:eastAsia="仿宋_GB2312"/>
          <w:b/>
          <w:lang w:eastAsia="zh-CN"/>
        </w:rPr>
        <w:t>应用</w:t>
      </w:r>
    </w:p>
    <w:p w14:paraId="1AECEC3A">
      <w:pPr>
        <w:spacing w:after="120" w:line="360" w:lineRule="auto"/>
        <w:ind w:firstLine="520" w:firstLineChars="200"/>
        <w:rPr>
          <w:lang w:eastAsia="zh-CN"/>
        </w:rPr>
      </w:pPr>
      <w:r>
        <w:rPr>
          <w:color w:val="505050"/>
          <w:sz w:val="26"/>
          <w:lang w:eastAsia="zh-CN"/>
        </w:rPr>
        <w:t>推动声</w:t>
      </w:r>
      <w:r>
        <w:rPr>
          <w:rFonts w:hint="eastAsia"/>
          <w:color w:val="505050"/>
          <w:sz w:val="26"/>
          <w:lang w:val="en-US" w:eastAsia="zh-CN"/>
        </w:rPr>
        <w:t>学</w:t>
      </w:r>
      <w:r>
        <w:rPr>
          <w:color w:val="505050"/>
          <w:sz w:val="26"/>
          <w:lang w:eastAsia="zh-CN"/>
        </w:rPr>
        <w:t>设备与新技术融合，在广场舞、静音操场等群众体育场景中创新应用。</w:t>
      </w:r>
    </w:p>
    <w:p w14:paraId="0E2F1FF3">
      <w:pPr>
        <w:spacing w:after="40"/>
        <w:ind w:firstLine="562" w:firstLineChars="200"/>
        <w:rPr>
          <w:lang w:eastAsia="zh-CN"/>
        </w:rPr>
      </w:pPr>
      <w:r>
        <w:rPr>
          <w:rFonts w:ascii="仿宋_GB2312" w:hAnsi="仿宋_GB2312" w:eastAsia="仿宋_GB2312"/>
          <w:b/>
          <w:lang w:eastAsia="zh-CN"/>
        </w:rPr>
        <w:t>26. 体育材料与场地设施标准化管理</w:t>
      </w:r>
    </w:p>
    <w:p w14:paraId="40E96D91">
      <w:pPr>
        <w:spacing w:after="120" w:line="360" w:lineRule="auto"/>
        <w:ind w:firstLine="520" w:firstLineChars="200"/>
        <w:rPr>
          <w:lang w:eastAsia="zh-CN"/>
        </w:rPr>
      </w:pPr>
      <w:r>
        <w:rPr>
          <w:color w:val="505050"/>
          <w:sz w:val="26"/>
          <w:lang w:eastAsia="zh-CN"/>
        </w:rPr>
        <w:t>解决技术创新与采购、验收、运营评价衔接不足的问题，建立材料批次、施工记录、成品抽检和后期维护的标准化管理体系。</w:t>
      </w:r>
    </w:p>
    <w:p w14:paraId="561D27AB">
      <w:pPr>
        <w:spacing w:after="40"/>
        <w:ind w:firstLine="562" w:firstLineChars="200"/>
        <w:rPr>
          <w:lang w:eastAsia="zh-CN"/>
        </w:rPr>
      </w:pPr>
      <w:r>
        <w:rPr>
          <w:rFonts w:ascii="仿宋_GB2312" w:hAnsi="仿宋_GB2312" w:eastAsia="仿宋_GB2312"/>
          <w:b/>
          <w:lang w:eastAsia="zh-CN"/>
        </w:rPr>
        <w:t>27. 体育科技成果中试放大与概念验证</w:t>
      </w:r>
    </w:p>
    <w:p w14:paraId="3787BCB7">
      <w:pPr>
        <w:spacing w:after="120" w:line="360" w:lineRule="auto"/>
        <w:ind w:firstLine="520" w:firstLineChars="200"/>
        <w:rPr>
          <w:lang w:eastAsia="zh-CN"/>
        </w:rPr>
      </w:pPr>
      <w:r>
        <w:rPr>
          <w:color w:val="505050"/>
          <w:sz w:val="26"/>
          <w:lang w:eastAsia="zh-CN"/>
        </w:rPr>
        <w:t>解决科技成果转化"死亡之谷"问题，建设体育行业专属概念验证、中试放大载体，降低前沿技术产业化门槛。</w:t>
      </w:r>
    </w:p>
    <w:p w14:paraId="6D5F7A0A">
      <w:pPr>
        <w:spacing w:before="240" w:after="120"/>
        <w:rPr>
          <w:lang w:eastAsia="zh-CN"/>
        </w:rPr>
      </w:pPr>
      <w:r>
        <w:rPr>
          <w:rFonts w:ascii="黑体" w:hAnsi="黑体" w:eastAsia="黑体"/>
          <w:b/>
          <w:sz w:val="32"/>
          <w:lang w:eastAsia="zh-CN"/>
        </w:rPr>
        <w:t>三、智</w:t>
      </w:r>
      <w:r>
        <w:rPr>
          <w:rFonts w:hint="eastAsia" w:ascii="黑体" w:hAnsi="黑体" w:eastAsia="黑体"/>
          <w:b/>
          <w:sz w:val="32"/>
          <w:lang w:val="en-US" w:eastAsia="zh-CN"/>
        </w:rPr>
        <w:t>慧</w:t>
      </w:r>
      <w:r>
        <w:rPr>
          <w:rFonts w:ascii="黑体" w:hAnsi="黑体" w:eastAsia="黑体"/>
          <w:b/>
          <w:sz w:val="32"/>
          <w:lang w:eastAsia="zh-CN"/>
        </w:rPr>
        <w:t>场馆</w:t>
      </w:r>
    </w:p>
    <w:p w14:paraId="02D9CF5E">
      <w:pPr>
        <w:spacing w:before="160" w:after="80"/>
        <w:rPr>
          <w:lang w:eastAsia="zh-CN"/>
        </w:rPr>
      </w:pPr>
      <w:r>
        <w:rPr>
          <w:rFonts w:ascii="楷体" w:hAnsi="楷体" w:eastAsia="楷体"/>
          <w:b/>
          <w:sz w:val="30"/>
          <w:lang w:eastAsia="zh-CN"/>
        </w:rPr>
        <w:t>（一）数字孪生与智慧管理</w:t>
      </w:r>
    </w:p>
    <w:p w14:paraId="78F4F4D4">
      <w:pPr>
        <w:spacing w:after="40"/>
        <w:ind w:firstLine="562" w:firstLineChars="200"/>
        <w:rPr>
          <w:rFonts w:hint="default"/>
          <w:lang w:val="en-US" w:eastAsia="zh-CN"/>
        </w:rPr>
      </w:pPr>
      <w:r>
        <w:rPr>
          <w:rFonts w:ascii="仿宋_GB2312" w:hAnsi="仿宋_GB2312" w:eastAsia="仿宋_GB2312"/>
          <w:b/>
          <w:lang w:eastAsia="zh-CN"/>
        </w:rPr>
        <w:t>28. "智慧场馆大脑"与多源数据</w:t>
      </w:r>
      <w:r>
        <w:rPr>
          <w:rFonts w:hint="eastAsia" w:ascii="仿宋_GB2312" w:hAnsi="仿宋_GB2312" w:eastAsia="仿宋_GB2312"/>
          <w:b/>
          <w:lang w:val="en-US" w:eastAsia="zh-CN"/>
        </w:rPr>
        <w:t>融合</w:t>
      </w:r>
    </w:p>
    <w:p w14:paraId="6861653F">
      <w:pPr>
        <w:spacing w:after="120" w:line="360" w:lineRule="auto"/>
        <w:ind w:firstLine="520" w:firstLineChars="200"/>
        <w:rPr>
          <w:lang w:eastAsia="zh-CN"/>
        </w:rPr>
      </w:pPr>
      <w:r>
        <w:rPr>
          <w:color w:val="505050"/>
          <w:sz w:val="26"/>
          <w:lang w:eastAsia="zh-CN"/>
        </w:rPr>
        <w:t>解决跨系统跨部门多源异构数据分散割裂问题，建设"智慧场馆大脑"，实现实时汇聚"一张图"可视化与动态风险精准预警。</w:t>
      </w:r>
    </w:p>
    <w:p w14:paraId="7B7618F2">
      <w:pPr>
        <w:spacing w:after="40"/>
        <w:ind w:firstLine="562" w:firstLineChars="200"/>
        <w:rPr>
          <w:lang w:eastAsia="zh-CN"/>
        </w:rPr>
      </w:pPr>
      <w:r>
        <w:rPr>
          <w:rFonts w:ascii="仿宋_GB2312" w:hAnsi="仿宋_GB2312" w:eastAsia="仿宋_GB2312"/>
          <w:b/>
          <w:lang w:eastAsia="zh-CN"/>
        </w:rPr>
        <w:t>29. 大型活动人流</w:t>
      </w:r>
      <w:r>
        <w:rPr>
          <w:rFonts w:hint="eastAsia" w:ascii="仿宋_GB2312" w:hAnsi="仿宋_GB2312" w:eastAsia="仿宋_GB2312"/>
          <w:b/>
          <w:lang w:val="en-US" w:eastAsia="zh-CN"/>
        </w:rPr>
        <w:t>智慧管控</w:t>
      </w:r>
      <w:r>
        <w:rPr>
          <w:rFonts w:ascii="仿宋_GB2312" w:hAnsi="仿宋_GB2312" w:eastAsia="仿宋_GB2312"/>
          <w:b/>
          <w:lang w:eastAsia="zh-CN"/>
        </w:rPr>
        <w:t>与安全预警</w:t>
      </w:r>
    </w:p>
    <w:p w14:paraId="7CA7EDCD">
      <w:pPr>
        <w:spacing w:after="120" w:line="360" w:lineRule="auto"/>
        <w:ind w:firstLine="520" w:firstLineChars="200"/>
        <w:rPr>
          <w:lang w:eastAsia="zh-CN"/>
        </w:rPr>
      </w:pPr>
      <w:r>
        <w:rPr>
          <w:color w:val="505050"/>
          <w:sz w:val="26"/>
          <w:lang w:eastAsia="zh-CN"/>
        </w:rPr>
        <w:t>解决大型活动中入场高峰、局部聚集、消防通道占用、散场拥堵等动态场景的虚实映射精度问题，实现提前预警与快速调度。</w:t>
      </w:r>
    </w:p>
    <w:p w14:paraId="515AD545">
      <w:pPr>
        <w:spacing w:after="40"/>
        <w:ind w:firstLine="562" w:firstLineChars="200"/>
        <w:rPr>
          <w:lang w:eastAsia="zh-CN"/>
        </w:rPr>
      </w:pPr>
      <w:r>
        <w:rPr>
          <w:rFonts w:ascii="仿宋_GB2312" w:hAnsi="仿宋_GB2312" w:eastAsia="仿宋_GB2312"/>
          <w:b/>
          <w:lang w:eastAsia="zh-CN"/>
        </w:rPr>
        <w:t>30.</w:t>
      </w:r>
      <w:r>
        <w:rPr>
          <w:rFonts w:hint="eastAsia" w:ascii="仿宋_GB2312" w:hAnsi="仿宋_GB2312" w:eastAsia="仿宋_GB2312"/>
          <w:b/>
          <w:lang w:eastAsia="zh-CN"/>
        </w:rPr>
        <w:t>场馆运营复盘标准及其数字化工具</w:t>
      </w:r>
    </w:p>
    <w:p w14:paraId="24B4A564">
      <w:pPr>
        <w:spacing w:after="120" w:line="360" w:lineRule="auto"/>
        <w:ind w:firstLine="520" w:firstLineChars="200"/>
        <w:rPr>
          <w:lang w:eastAsia="zh-CN"/>
        </w:rPr>
      </w:pPr>
      <w:r>
        <w:rPr>
          <w:color w:val="505050"/>
          <w:sz w:val="26"/>
          <w:lang w:eastAsia="zh-CN"/>
        </w:rPr>
        <w:t>解决活动后缺乏标准化数字化复盘工具的问题，形成收入、成本、客流、安检效率、能耗等标准化复盘报告。</w:t>
      </w:r>
    </w:p>
    <w:p w14:paraId="4139A154">
      <w:pPr>
        <w:spacing w:after="40"/>
        <w:ind w:firstLine="562" w:firstLineChars="200"/>
        <w:rPr>
          <w:lang w:eastAsia="zh-CN"/>
        </w:rPr>
      </w:pPr>
      <w:r>
        <w:rPr>
          <w:rFonts w:ascii="仿宋_GB2312" w:hAnsi="仿宋_GB2312" w:eastAsia="仿宋_GB2312"/>
          <w:b/>
          <w:lang w:eastAsia="zh-CN"/>
        </w:rPr>
        <w:t>31. 特定场景</w:t>
      </w:r>
      <w:r>
        <w:rPr>
          <w:rFonts w:hint="eastAsia" w:ascii="仿宋_GB2312" w:hAnsi="仿宋_GB2312" w:eastAsia="仿宋_GB2312"/>
          <w:b/>
          <w:lang w:val="en-US" w:eastAsia="zh-CN"/>
        </w:rPr>
        <w:t>具身智能技术与装备</w:t>
      </w:r>
    </w:p>
    <w:p w14:paraId="5AEEEF9A">
      <w:pPr>
        <w:spacing w:after="120" w:line="360" w:lineRule="auto"/>
        <w:ind w:firstLine="520" w:firstLineChars="200"/>
        <w:rPr>
          <w:lang w:eastAsia="zh-CN"/>
        </w:rPr>
      </w:pPr>
      <w:r>
        <w:rPr>
          <w:color w:val="505050"/>
          <w:sz w:val="26"/>
          <w:lang w:eastAsia="zh-CN"/>
        </w:rPr>
        <w:t>解决捡球/喂球机器人、机械臂等特定场景AI自动化设备定位精度偏差大、软件配套滞后的问题，提升自动化水平。</w:t>
      </w:r>
    </w:p>
    <w:p w14:paraId="1B6AC9DA">
      <w:pPr>
        <w:spacing w:after="40"/>
        <w:ind w:firstLine="562" w:firstLineChars="200"/>
        <w:rPr>
          <w:lang w:eastAsia="zh-CN"/>
        </w:rPr>
      </w:pPr>
      <w:r>
        <w:rPr>
          <w:rFonts w:ascii="仿宋_GB2312" w:hAnsi="仿宋_GB2312" w:eastAsia="仿宋_GB2312"/>
          <w:b/>
          <w:lang w:eastAsia="zh-CN"/>
        </w:rPr>
        <w:t>32. 赛事数据脱敏开放与科研服务</w:t>
      </w:r>
    </w:p>
    <w:p w14:paraId="6ACE810A">
      <w:pPr>
        <w:spacing w:after="120" w:line="360" w:lineRule="auto"/>
        <w:ind w:firstLine="520" w:firstLineChars="200"/>
        <w:rPr>
          <w:lang w:eastAsia="zh-CN"/>
        </w:rPr>
      </w:pPr>
      <w:r>
        <w:rPr>
          <w:color w:val="505050"/>
          <w:sz w:val="26"/>
          <w:lang w:eastAsia="zh-CN"/>
        </w:rPr>
        <w:t>在保障知识产权和数据安全前提下，面向科研机构和产业链企业提供赛事脱敏数据服务，助力行业技术进步。</w:t>
      </w:r>
    </w:p>
    <w:p w14:paraId="0F395C77">
      <w:pPr>
        <w:spacing w:before="160" w:after="80"/>
        <w:rPr>
          <w:lang w:eastAsia="zh-CN"/>
        </w:rPr>
      </w:pPr>
      <w:r>
        <w:rPr>
          <w:rFonts w:ascii="楷体" w:hAnsi="楷体" w:eastAsia="楷体"/>
          <w:b/>
          <w:sz w:val="30"/>
          <w:lang w:eastAsia="zh-CN"/>
        </w:rPr>
        <w:t>（二）沉浸式观赛与交互体验</w:t>
      </w:r>
    </w:p>
    <w:p w14:paraId="269CF036">
      <w:pPr>
        <w:spacing w:after="40"/>
        <w:ind w:firstLine="562" w:firstLineChars="200"/>
        <w:rPr>
          <w:lang w:eastAsia="zh-CN"/>
        </w:rPr>
      </w:pPr>
      <w:r>
        <w:rPr>
          <w:rFonts w:ascii="仿宋_GB2312" w:hAnsi="仿宋_GB2312" w:eastAsia="仿宋_GB2312"/>
          <w:b/>
          <w:lang w:eastAsia="zh-CN"/>
        </w:rPr>
        <w:t>33. 沉浸式技术运营人员能力培训</w:t>
      </w:r>
    </w:p>
    <w:p w14:paraId="6DB81D2F">
      <w:pPr>
        <w:spacing w:after="120" w:line="360" w:lineRule="auto"/>
        <w:ind w:firstLine="520" w:firstLineChars="200"/>
        <w:rPr>
          <w:lang w:eastAsia="zh-CN"/>
        </w:rPr>
      </w:pPr>
      <w:r>
        <w:rPr>
          <w:color w:val="505050"/>
          <w:sz w:val="26"/>
          <w:lang w:eastAsia="zh-CN"/>
        </w:rPr>
        <w:t>解决5G+AR合影、VR观赛等新技术运营人员实操运维能力不足、专业培训体系缺失的问题。</w:t>
      </w:r>
    </w:p>
    <w:p w14:paraId="4B447E8C">
      <w:pPr>
        <w:spacing w:after="40"/>
        <w:ind w:firstLine="562" w:firstLineChars="200"/>
        <w:rPr>
          <w:lang w:eastAsia="zh-CN"/>
        </w:rPr>
      </w:pPr>
      <w:r>
        <w:rPr>
          <w:rFonts w:ascii="仿宋_GB2312" w:hAnsi="仿宋_GB2312" w:eastAsia="仿宋_GB2312"/>
          <w:b/>
          <w:lang w:eastAsia="zh-CN"/>
        </w:rPr>
        <w:t>34. 巨幕直播与多屏互动数字化运营</w:t>
      </w:r>
    </w:p>
    <w:p w14:paraId="1DB79F0C">
      <w:pPr>
        <w:spacing w:after="120" w:line="360" w:lineRule="auto"/>
        <w:ind w:firstLine="520" w:firstLineChars="200"/>
        <w:rPr>
          <w:lang w:eastAsia="zh-CN"/>
        </w:rPr>
      </w:pPr>
      <w:r>
        <w:rPr>
          <w:color w:val="505050"/>
          <w:sz w:val="26"/>
          <w:lang w:eastAsia="zh-CN"/>
        </w:rPr>
        <w:t>解决巨幕直播+多屏互动涉及的数字化运营要求升级、传统人员能力结构不匹配的问题。</w:t>
      </w:r>
    </w:p>
    <w:p w14:paraId="285D4F33">
      <w:pPr>
        <w:spacing w:before="160" w:after="80"/>
        <w:rPr>
          <w:lang w:eastAsia="zh-CN"/>
        </w:rPr>
      </w:pPr>
      <w:r>
        <w:rPr>
          <w:rFonts w:ascii="楷体" w:hAnsi="楷体" w:eastAsia="楷体"/>
          <w:b/>
          <w:sz w:val="30"/>
          <w:lang w:eastAsia="zh-CN"/>
        </w:rPr>
        <w:t>（三）绿色节能与创新建造技术</w:t>
      </w:r>
    </w:p>
    <w:p w14:paraId="1EB42814">
      <w:pPr>
        <w:spacing w:after="40"/>
        <w:ind w:firstLine="562" w:firstLineChars="200"/>
        <w:rPr>
          <w:lang w:eastAsia="zh-CN"/>
        </w:rPr>
      </w:pPr>
      <w:r>
        <w:rPr>
          <w:rFonts w:ascii="仿宋_GB2312" w:hAnsi="仿宋_GB2312" w:eastAsia="仿宋_GB2312"/>
          <w:b/>
          <w:lang w:eastAsia="zh-CN"/>
        </w:rPr>
        <w:t xml:space="preserve">35. </w:t>
      </w:r>
      <w:r>
        <w:rPr>
          <w:rFonts w:hint="eastAsia" w:ascii="仿宋_GB2312" w:hAnsi="仿宋_GB2312" w:eastAsia="仿宋_GB2312"/>
          <w:b/>
          <w:lang w:eastAsia="zh-CN"/>
        </w:rPr>
        <w:t>冰上运动场馆碳排评估与低碳化改造</w:t>
      </w:r>
    </w:p>
    <w:p w14:paraId="007244DC">
      <w:pPr>
        <w:spacing w:after="120" w:line="360" w:lineRule="auto"/>
        <w:ind w:firstLine="520" w:firstLineChars="200"/>
        <w:rPr>
          <w:lang w:eastAsia="zh-CN"/>
        </w:rPr>
      </w:pPr>
      <w:r>
        <w:rPr>
          <w:color w:val="505050"/>
          <w:sz w:val="26"/>
          <w:lang w:eastAsia="zh-CN"/>
        </w:rPr>
        <w:t>解决冰场高能耗问题，在不进行大规模改造前提下，实现制冰与空调系统的精细化能耗拆分监测与低成本节能改造。</w:t>
      </w:r>
    </w:p>
    <w:p w14:paraId="3AC86B3D">
      <w:pPr>
        <w:spacing w:after="40"/>
        <w:ind w:firstLine="562" w:firstLineChars="200"/>
        <w:rPr>
          <w:lang w:eastAsia="zh-CN"/>
        </w:rPr>
      </w:pPr>
      <w:r>
        <w:rPr>
          <w:rFonts w:ascii="仿宋_GB2312" w:hAnsi="仿宋_GB2312" w:eastAsia="仿宋_GB2312"/>
          <w:b/>
          <w:lang w:eastAsia="zh-CN"/>
        </w:rPr>
        <w:t>36. 水冰转换系统耐久性</w:t>
      </w:r>
      <w:r>
        <w:rPr>
          <w:rFonts w:hint="eastAsia" w:ascii="仿宋_GB2312" w:hAnsi="仿宋_GB2312" w:eastAsia="仿宋_GB2312"/>
          <w:b/>
          <w:lang w:val="en-US" w:eastAsia="zh-CN"/>
        </w:rPr>
        <w:t>提升</w:t>
      </w:r>
      <w:r>
        <w:rPr>
          <w:rFonts w:ascii="仿宋_GB2312" w:hAnsi="仿宋_GB2312" w:eastAsia="仿宋_GB2312"/>
          <w:b/>
          <w:lang w:eastAsia="zh-CN"/>
        </w:rPr>
        <w:t>与标准化推广</w:t>
      </w:r>
    </w:p>
    <w:p w14:paraId="35C6C94C">
      <w:pPr>
        <w:spacing w:after="120" w:line="360" w:lineRule="auto"/>
        <w:ind w:firstLine="520" w:firstLineChars="200"/>
        <w:rPr>
          <w:lang w:eastAsia="zh-CN"/>
        </w:rPr>
      </w:pPr>
      <w:r>
        <w:rPr>
          <w:color w:val="505050"/>
          <w:sz w:val="26"/>
          <w:lang w:eastAsia="zh-CN"/>
        </w:rPr>
        <w:t>解决水冰转换系统反复拆装耐久性不足、6小时快速切换可靠性不足的问题，形成标准化推广方案。</w:t>
      </w:r>
    </w:p>
    <w:p w14:paraId="26252827">
      <w:pPr>
        <w:spacing w:after="40"/>
        <w:ind w:firstLine="562" w:firstLineChars="200"/>
        <w:rPr>
          <w:lang w:eastAsia="zh-CN"/>
        </w:rPr>
      </w:pPr>
      <w:r>
        <w:rPr>
          <w:rFonts w:ascii="仿宋_GB2312" w:hAnsi="仿宋_GB2312" w:eastAsia="仿宋_GB2312"/>
          <w:b/>
          <w:lang w:eastAsia="zh-CN"/>
        </w:rPr>
        <w:t>37. 体育场馆水资源循环利用</w:t>
      </w:r>
    </w:p>
    <w:p w14:paraId="7A8214D7">
      <w:pPr>
        <w:spacing w:after="120" w:line="360" w:lineRule="auto"/>
        <w:ind w:firstLine="520" w:firstLineChars="200"/>
        <w:rPr>
          <w:lang w:eastAsia="zh-CN"/>
        </w:rPr>
      </w:pPr>
      <w:r>
        <w:rPr>
          <w:color w:val="505050"/>
          <w:sz w:val="26"/>
          <w:lang w:eastAsia="zh-CN"/>
        </w:rPr>
        <w:t>解决体育场馆水资源利用粗放与循环技术落地难的问题，推动雨水回收与海绵城市设计在体育设施中的应用。</w:t>
      </w:r>
    </w:p>
    <w:p w14:paraId="6B66708B">
      <w:pPr>
        <w:spacing w:after="40"/>
        <w:ind w:firstLine="562" w:firstLineChars="200"/>
        <w:rPr>
          <w:lang w:eastAsia="zh-CN"/>
        </w:rPr>
      </w:pPr>
      <w:r>
        <w:rPr>
          <w:rFonts w:ascii="仿宋_GB2312" w:hAnsi="仿宋_GB2312" w:eastAsia="仿宋_GB2312"/>
          <w:b/>
          <w:lang w:eastAsia="zh-CN"/>
        </w:rPr>
        <w:t>38. AI驱动绿色制造与碳足迹管控</w:t>
      </w:r>
    </w:p>
    <w:p w14:paraId="53F868D3">
      <w:pPr>
        <w:spacing w:after="120" w:line="360" w:lineRule="auto"/>
        <w:ind w:firstLine="520" w:firstLineChars="200"/>
        <w:rPr>
          <w:lang w:eastAsia="zh-CN"/>
        </w:rPr>
      </w:pPr>
      <w:r>
        <w:rPr>
          <w:color w:val="505050"/>
          <w:sz w:val="26"/>
          <w:lang w:eastAsia="zh-CN"/>
        </w:rPr>
        <w:t>利用AI进行配方优化、碳足迹预测，实现按需生产，推广超临界CO₂染色、再生纤维高性能化、生物基材料规模化等绿色技术。</w:t>
      </w:r>
    </w:p>
    <w:p w14:paraId="7BDA48E1">
      <w:pPr>
        <w:spacing w:before="160" w:after="80"/>
        <w:rPr>
          <w:lang w:eastAsia="zh-CN"/>
        </w:rPr>
      </w:pPr>
      <w:r>
        <w:rPr>
          <w:rFonts w:ascii="楷体" w:hAnsi="楷体" w:eastAsia="楷体"/>
          <w:b/>
          <w:sz w:val="30"/>
          <w:lang w:eastAsia="zh-CN"/>
        </w:rPr>
        <w:t>（四）智慧场馆与物联网</w:t>
      </w:r>
    </w:p>
    <w:p w14:paraId="002AE4F7">
      <w:pPr>
        <w:spacing w:after="40"/>
        <w:ind w:firstLine="562" w:firstLineChars="200"/>
        <w:rPr>
          <w:lang w:eastAsia="zh-CN"/>
        </w:rPr>
      </w:pPr>
      <w:r>
        <w:rPr>
          <w:rFonts w:ascii="仿宋_GB2312" w:hAnsi="仿宋_GB2312" w:eastAsia="仿宋_GB2312"/>
          <w:b/>
          <w:lang w:eastAsia="zh-CN"/>
        </w:rPr>
        <w:t>39. 无人值守运营与综合信息平台</w:t>
      </w:r>
    </w:p>
    <w:p w14:paraId="089E89B6">
      <w:pPr>
        <w:spacing w:after="120" w:line="360" w:lineRule="auto"/>
        <w:ind w:firstLine="520" w:firstLineChars="200"/>
        <w:rPr>
          <w:lang w:eastAsia="zh-CN"/>
        </w:rPr>
      </w:pPr>
      <w:r>
        <w:rPr>
          <w:color w:val="505050"/>
          <w:sz w:val="26"/>
          <w:lang w:eastAsia="zh-CN"/>
        </w:rPr>
        <w:t>解决场馆横向技术能力串联不足、综合信息平台业务流处理能力短板问题，实现无人值守运营。</w:t>
      </w:r>
    </w:p>
    <w:p w14:paraId="4515C484">
      <w:pPr>
        <w:spacing w:after="40"/>
        <w:ind w:firstLine="562" w:firstLineChars="200"/>
        <w:rPr>
          <w:lang w:eastAsia="zh-CN"/>
        </w:rPr>
      </w:pPr>
      <w:r>
        <w:rPr>
          <w:rFonts w:ascii="仿宋_GB2312" w:hAnsi="仿宋_GB2312" w:eastAsia="仿宋_GB2312"/>
          <w:b/>
          <w:lang w:eastAsia="zh-CN"/>
        </w:rPr>
        <w:t>40. AI安防与巡检数据标准统一</w:t>
      </w:r>
    </w:p>
    <w:p w14:paraId="6F20C30C">
      <w:pPr>
        <w:spacing w:after="120" w:line="360" w:lineRule="auto"/>
        <w:ind w:firstLine="520" w:firstLineChars="200"/>
        <w:rPr>
          <w:lang w:eastAsia="zh-CN"/>
        </w:rPr>
      </w:pPr>
      <w:r>
        <w:rPr>
          <w:color w:val="505050"/>
          <w:sz w:val="26"/>
          <w:lang w:eastAsia="zh-CN"/>
        </w:rPr>
        <w:t>解决AI安防与巡检效率提升受制于数据标准缺失与系统分散的问题，实现人机有效配合。</w:t>
      </w:r>
    </w:p>
    <w:p w14:paraId="56E7A2BD">
      <w:pPr>
        <w:spacing w:after="40"/>
        <w:ind w:firstLine="562" w:firstLineChars="200"/>
        <w:rPr>
          <w:lang w:eastAsia="zh-CN"/>
        </w:rPr>
      </w:pPr>
      <w:r>
        <w:rPr>
          <w:rFonts w:ascii="仿宋_GB2312" w:hAnsi="仿宋_GB2312" w:eastAsia="仿宋_GB2312"/>
          <w:b/>
          <w:lang w:eastAsia="zh-CN"/>
        </w:rPr>
        <w:t>41. 全国智能健身设备接入标准统一</w:t>
      </w:r>
    </w:p>
    <w:p w14:paraId="0F5AFE69">
      <w:pPr>
        <w:spacing w:after="120" w:line="360" w:lineRule="auto"/>
        <w:ind w:firstLine="520" w:firstLineChars="200"/>
        <w:rPr>
          <w:lang w:eastAsia="zh-CN"/>
        </w:rPr>
      </w:pPr>
      <w:r>
        <w:rPr>
          <w:color w:val="505050"/>
          <w:sz w:val="26"/>
          <w:lang w:eastAsia="zh-CN"/>
        </w:rPr>
        <w:t>解决各地全民健身平台接口不统一、设备跨区需重复改造的问题，建立全国统一的智能设备接入标准。</w:t>
      </w:r>
    </w:p>
    <w:p w14:paraId="30DEBC24">
      <w:pPr>
        <w:spacing w:before="160" w:after="80"/>
        <w:rPr>
          <w:lang w:eastAsia="zh-CN"/>
        </w:rPr>
      </w:pPr>
      <w:r>
        <w:rPr>
          <w:rFonts w:ascii="楷体" w:hAnsi="楷体" w:eastAsia="楷体"/>
          <w:b/>
          <w:sz w:val="30"/>
          <w:lang w:eastAsia="zh-CN"/>
        </w:rPr>
        <w:t>（五）智慧赛事与服务平台</w:t>
      </w:r>
    </w:p>
    <w:p w14:paraId="6BE47B2E">
      <w:pPr>
        <w:spacing w:after="40"/>
        <w:ind w:firstLine="562" w:firstLineChars="200"/>
        <w:rPr>
          <w:lang w:eastAsia="zh-CN"/>
        </w:rPr>
      </w:pPr>
      <w:r>
        <w:rPr>
          <w:rFonts w:ascii="仿宋_GB2312" w:hAnsi="仿宋_GB2312" w:eastAsia="仿宋_GB2312"/>
          <w:b/>
          <w:lang w:eastAsia="zh-CN"/>
        </w:rPr>
        <w:t>42. 赛事智能地图导航动态更新</w:t>
      </w:r>
    </w:p>
    <w:p w14:paraId="37568634">
      <w:pPr>
        <w:spacing w:after="120" w:line="360" w:lineRule="auto"/>
        <w:ind w:firstLine="520" w:firstLineChars="200"/>
        <w:rPr>
          <w:lang w:eastAsia="zh-CN"/>
        </w:rPr>
      </w:pPr>
      <w:r>
        <w:rPr>
          <w:color w:val="505050"/>
          <w:sz w:val="26"/>
          <w:lang w:eastAsia="zh-CN"/>
        </w:rPr>
        <w:t>解决赛事智能地图导航动态更新滞后、场景适配不足的问题，精准标注补给站、集结区、接驳车等关键点位。</w:t>
      </w:r>
    </w:p>
    <w:p w14:paraId="0D67415A">
      <w:pPr>
        <w:spacing w:after="40"/>
        <w:ind w:firstLine="562" w:firstLineChars="200"/>
        <w:rPr>
          <w:lang w:eastAsia="zh-CN"/>
        </w:rPr>
      </w:pPr>
      <w:r>
        <w:rPr>
          <w:rFonts w:ascii="仿宋_GB2312" w:hAnsi="仿宋_GB2312" w:eastAsia="仿宋_GB2312"/>
          <w:b/>
          <w:lang w:eastAsia="zh-CN"/>
        </w:rPr>
        <w:t>43. 赛事管理平台数据互通与承压能力</w:t>
      </w:r>
    </w:p>
    <w:p w14:paraId="4D42BF9C">
      <w:pPr>
        <w:spacing w:after="120" w:line="360" w:lineRule="auto"/>
        <w:ind w:firstLine="520" w:firstLineChars="200"/>
        <w:rPr>
          <w:lang w:eastAsia="zh-CN"/>
        </w:rPr>
      </w:pPr>
      <w:r>
        <w:rPr>
          <w:color w:val="505050"/>
          <w:sz w:val="26"/>
          <w:lang w:eastAsia="zh-CN"/>
        </w:rPr>
        <w:t>解决赛事管理平台数据互通不足、综合承压能力偏弱的问题，实现报名、抽签、编排等全流程数字化管理。</w:t>
      </w:r>
    </w:p>
    <w:p w14:paraId="14BD9A11">
      <w:pPr>
        <w:spacing w:after="40"/>
        <w:ind w:firstLine="562" w:firstLineChars="200"/>
        <w:rPr>
          <w:lang w:eastAsia="zh-CN"/>
        </w:rPr>
      </w:pPr>
      <w:r>
        <w:rPr>
          <w:rFonts w:ascii="仿宋_GB2312" w:hAnsi="仿宋_GB2312" w:eastAsia="仿宋_GB2312"/>
          <w:b/>
          <w:lang w:eastAsia="zh-CN"/>
        </w:rPr>
        <w:t>44. 面向C端的体育增值服务产品</w:t>
      </w:r>
    </w:p>
    <w:p w14:paraId="48CC4236">
      <w:pPr>
        <w:spacing w:after="120" w:line="360" w:lineRule="auto"/>
        <w:ind w:firstLine="520" w:firstLineChars="200"/>
        <w:rPr>
          <w:lang w:eastAsia="zh-CN"/>
        </w:rPr>
      </w:pPr>
      <w:r>
        <w:rPr>
          <w:color w:val="505050"/>
          <w:sz w:val="26"/>
          <w:lang w:eastAsia="zh-CN"/>
        </w:rPr>
        <w:t>开发AI动作分析、个性化训练处方、赛事影像自动剪辑等高性价比C端增值服务产品，提升用户体验与消费转化。</w:t>
      </w:r>
    </w:p>
    <w:p w14:paraId="5F14E8C2">
      <w:pPr>
        <w:spacing w:before="160" w:after="80"/>
        <w:rPr>
          <w:lang w:eastAsia="zh-CN"/>
        </w:rPr>
      </w:pPr>
      <w:r>
        <w:rPr>
          <w:rFonts w:ascii="楷体" w:hAnsi="楷体" w:eastAsia="楷体"/>
          <w:b/>
          <w:sz w:val="30"/>
          <w:lang w:eastAsia="zh-CN"/>
        </w:rPr>
        <w:t>（六）生态与智能基础设施</w:t>
      </w:r>
    </w:p>
    <w:p w14:paraId="40323DD5">
      <w:pPr>
        <w:spacing w:after="40"/>
        <w:ind w:firstLine="562" w:firstLineChars="200"/>
        <w:rPr>
          <w:lang w:eastAsia="zh-CN"/>
        </w:rPr>
      </w:pPr>
      <w:r>
        <w:rPr>
          <w:rFonts w:ascii="仿宋_GB2312" w:hAnsi="仿宋_GB2312" w:eastAsia="仿宋_GB2312"/>
          <w:b/>
          <w:lang w:eastAsia="zh-CN"/>
        </w:rPr>
        <w:t>45. 智慧导览与智慧设施长效运维</w:t>
      </w:r>
    </w:p>
    <w:p w14:paraId="627AE8AC">
      <w:pPr>
        <w:spacing w:after="120" w:line="360" w:lineRule="auto"/>
        <w:ind w:firstLine="520" w:firstLineChars="200"/>
        <w:rPr>
          <w:lang w:eastAsia="zh-CN"/>
        </w:rPr>
      </w:pPr>
      <w:r>
        <w:rPr>
          <w:color w:val="505050"/>
          <w:sz w:val="26"/>
          <w:lang w:eastAsia="zh-CN"/>
        </w:rPr>
        <w:t>解决智慧导览、智慧座椅等设施实用性不足、长效运维能力偏弱的问题，提升设施使用效率与用户体验。</w:t>
      </w:r>
    </w:p>
    <w:p w14:paraId="203CF597">
      <w:pPr>
        <w:spacing w:after="40"/>
        <w:ind w:firstLine="562" w:firstLineChars="200"/>
        <w:rPr>
          <w:lang w:eastAsia="zh-CN"/>
        </w:rPr>
      </w:pPr>
      <w:r>
        <w:rPr>
          <w:rFonts w:ascii="仿宋_GB2312" w:hAnsi="仿宋_GB2312" w:eastAsia="仿宋_GB2312"/>
          <w:b/>
          <w:lang w:eastAsia="zh-CN"/>
        </w:rPr>
        <w:t>46. 气象环境监测数据深度应用</w:t>
      </w:r>
    </w:p>
    <w:p w14:paraId="5DA652EF">
      <w:pPr>
        <w:spacing w:after="120" w:line="360" w:lineRule="auto"/>
        <w:ind w:firstLine="520" w:firstLineChars="200"/>
        <w:rPr>
          <w:lang w:eastAsia="zh-CN"/>
        </w:rPr>
      </w:pPr>
      <w:r>
        <w:rPr>
          <w:color w:val="505050"/>
          <w:sz w:val="26"/>
          <w:lang w:eastAsia="zh-CN"/>
        </w:rPr>
        <w:t>解决气象与环境监测停留在数据展示层面的问题，推动PM2.5、温湿度、风速等数据在运动指导与安全预警中的深度应用。</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方正小标宋简体">
    <w:panose1 w:val="02000000000000000000"/>
    <w:charset w:val="86"/>
    <w:family w:val="roman"/>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roman"/>
    <w:pitch w:val="default"/>
    <w:sig w:usb0="00000000" w:usb1="00000000" w:usb2="00000000" w:usb3="00000000" w:csb0="0000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A1098"/>
    <w:rsid w:val="0015074B"/>
    <w:rsid w:val="0029639D"/>
    <w:rsid w:val="00326F90"/>
    <w:rsid w:val="00371B57"/>
    <w:rsid w:val="003B64E8"/>
    <w:rsid w:val="00443606"/>
    <w:rsid w:val="0049516C"/>
    <w:rsid w:val="00527E60"/>
    <w:rsid w:val="005440C7"/>
    <w:rsid w:val="00631166"/>
    <w:rsid w:val="00AA1D8D"/>
    <w:rsid w:val="00B47730"/>
    <w:rsid w:val="00B60082"/>
    <w:rsid w:val="00B67E96"/>
    <w:rsid w:val="00CB0664"/>
    <w:rsid w:val="00F25D85"/>
    <w:rsid w:val="00FC693F"/>
    <w:rsid w:val="02B17D98"/>
    <w:rsid w:val="08116782"/>
    <w:rsid w:val="64465512"/>
    <w:rsid w:val="66F62FB9"/>
    <w:rsid w:val="692E5C90"/>
    <w:rsid w:val="715563B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uiPriority="99" w:semiHidden="0" w:name="List Number"/>
    <w:lsdException w:qFormat="1" w:uiPriority="99" w:semiHidden="0" w:name="List 2"/>
    <w:lsdException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qFormat="1" w:unhideWhenUsed="0" w:uiPriority="62" w:semiHidden="0" w:name="Light Grid"/>
    <w:lsdException w:unhideWhenUsed="0" w:uiPriority="63" w:semiHidden="0" w:name="Medium Shading 1"/>
    <w:lsdException w:unhideWhenUsed="0" w:uiPriority="64" w:semiHidden="0" w:name="Medium Shading 2"/>
    <w:lsdException w:qFormat="1"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qFormat="1"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qFormat="1"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qFormat="1" w:unhideWhenUsed="0" w:uiPriority="62" w:semiHidden="0" w:name="Light Grid Accent 2"/>
    <w:lsdException w:unhideWhenUsed="0" w:uiPriority="63" w:semiHidden="0" w:name="Medium Shading 1 Accent 2"/>
    <w:lsdException w:unhideWhenUsed="0" w:uiPriority="64" w:semiHidden="0" w:name="Medium Shading 2 Accent 2"/>
    <w:lsdException w:qFormat="1"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qFormat="1" w:unhideWhenUsed="0" w:uiPriority="64" w:semiHidden="0" w:name="Medium Shading 2 Accent 3"/>
    <w:lsdException w:unhideWhenUsed="0" w:uiPriority="65" w:semiHidden="0" w:name="Medium List 1 Accent 3"/>
    <w:lsdException w:qFormat="1"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qFormat="1" w:unhideWhenUsed="0" w:uiPriority="70" w:semiHidden="0" w:name="Dark List Accent 3"/>
    <w:lsdException w:unhideWhenUsed="0" w:uiPriority="71" w:semiHidden="0" w:name="Colorful Shading Accent 3"/>
    <w:lsdException w:qFormat="1" w:unhideWhenUsed="0" w:uiPriority="72" w:semiHidden="0" w:name="Colorful List Accent 3"/>
    <w:lsdException w:unhideWhenUsed="0" w:uiPriority="73" w:semiHidden="0" w:name="Colorful Grid Accent 3"/>
    <w:lsdException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unhideWhenUsed="0" w:uiPriority="64" w:semiHidden="0" w:name="Medium Shading 2 Accent 4"/>
    <w:lsdException w:unhideWhenUsed="0" w:uiPriority="65" w:semiHidden="0" w:name="Medium List 1 Accent 4"/>
    <w:lsdException w:qFormat="1"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qFormat="1"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qFormat="1" w:unhideWhenUsed="0" w:uiPriority="61" w:semiHidden="0" w:name="Light List Accent 5"/>
    <w:lsdException w:qFormat="1"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qFormat="1" w:unhideWhenUsed="0" w:uiPriority="71" w:semiHidden="0" w:name="Colorful Shading Accent 5"/>
    <w:lsdException w:qFormat="1"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仿宋" w:hAnsi="仿宋" w:eastAsia="仿宋" w:cstheme="minorBidi"/>
      <w:sz w:val="28"/>
      <w:szCs w:val="22"/>
      <w:lang w:val="en-US" w:eastAsia="en-US" w:bidi="ar-SA"/>
    </w:rPr>
  </w:style>
  <w:style w:type="paragraph" w:styleId="3">
    <w:name w:val="heading 1"/>
    <w:basedOn w:val="1"/>
    <w:next w:val="1"/>
    <w:link w:val="141"/>
    <w:qFormat/>
    <w:uiPriority w:val="9"/>
    <w:pPr>
      <w:keepNext/>
      <w:keepLines/>
      <w:spacing w:before="480" w:after="0"/>
      <w:outlineLvl w:val="0"/>
    </w:pPr>
    <w:rPr>
      <w:rFonts w:asciiTheme="majorHAnsi" w:hAnsiTheme="majorHAnsi" w:eastAsiaTheme="majorEastAsia" w:cstheme="majorBidi"/>
      <w:b/>
      <w:bCs/>
      <w:color w:val="376092" w:themeColor="accent1" w:themeShade="BF"/>
      <w:szCs w:val="28"/>
    </w:rPr>
  </w:style>
  <w:style w:type="paragraph" w:styleId="4">
    <w:name w:val="heading 2"/>
    <w:basedOn w:val="1"/>
    <w:next w:val="1"/>
    <w:link w:val="142"/>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3"/>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3"/>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4"/>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5"/>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6"/>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7"/>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8"/>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uiPriority w:val="99"/>
    <w:tblPr>
      <w:tblCellMar>
        <w:top w:w="0" w:type="dxa"/>
        <w:left w:w="108" w:type="dxa"/>
        <w:bottom w:w="0" w:type="dxa"/>
        <w:right w:w="108" w:type="dxa"/>
      </w:tblCellMar>
    </w:tblPr>
  </w:style>
  <w:style w:type="paragraph" w:styleId="2">
    <w:name w:val="macro"/>
    <w:link w:val="150"/>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link w:val="167"/>
    <w:unhideWhenUsed/>
    <w:qFormat/>
    <w:uiPriority w:val="99"/>
  </w:style>
  <w:style w:type="paragraph" w:styleId="18">
    <w:name w:val="Body Text 3"/>
    <w:basedOn w:val="1"/>
    <w:link w:val="149"/>
    <w:unhideWhenUsed/>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7"/>
    <w:unhideWhenUsed/>
    <w:qFormat/>
    <w:uiPriority w:val="99"/>
    <w:pPr>
      <w:spacing w:after="120"/>
    </w:pPr>
  </w:style>
  <w:style w:type="paragraph" w:styleId="21">
    <w:name w:val="List Number 3"/>
    <w:basedOn w:val="1"/>
    <w:unhideWhenUsed/>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uiPriority w:val="99"/>
    <w:pPr>
      <w:spacing w:after="120"/>
      <w:ind w:left="360"/>
      <w:contextualSpacing/>
    </w:pPr>
  </w:style>
  <w:style w:type="paragraph" w:styleId="24">
    <w:name w:val="List Bullet 2"/>
    <w:basedOn w:val="1"/>
    <w:unhideWhenUsed/>
    <w:uiPriority w:val="99"/>
    <w:pPr>
      <w:numPr>
        <w:ilvl w:val="0"/>
        <w:numId w:val="6"/>
      </w:numPr>
      <w:contextualSpacing/>
    </w:pPr>
  </w:style>
  <w:style w:type="paragraph" w:styleId="25">
    <w:name w:val="footer"/>
    <w:basedOn w:val="1"/>
    <w:link w:val="139"/>
    <w:unhideWhenUsed/>
    <w:uiPriority w:val="99"/>
    <w:pPr>
      <w:tabs>
        <w:tab w:val="center" w:pos="4680"/>
        <w:tab w:val="right" w:pos="9360"/>
      </w:tabs>
      <w:spacing w:after="0" w:line="240" w:lineRule="auto"/>
    </w:pPr>
  </w:style>
  <w:style w:type="paragraph" w:styleId="26">
    <w:name w:val="header"/>
    <w:basedOn w:val="1"/>
    <w:link w:val="138"/>
    <w:unhideWhenUsed/>
    <w:uiPriority w:val="99"/>
    <w:pPr>
      <w:tabs>
        <w:tab w:val="center" w:pos="4680"/>
        <w:tab w:val="right" w:pos="9360"/>
      </w:tabs>
      <w:spacing w:after="0" w:line="240" w:lineRule="auto"/>
    </w:pPr>
  </w:style>
  <w:style w:type="paragraph" w:styleId="27">
    <w:name w:val="Subtitle"/>
    <w:basedOn w:val="1"/>
    <w:next w:val="1"/>
    <w:link w:val="14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8"/>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4"/>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33">
    <w:name w:val="annotation subject"/>
    <w:basedOn w:val="17"/>
    <w:next w:val="17"/>
    <w:link w:val="168"/>
    <w:semiHidden/>
    <w:unhideWhenUsed/>
    <w:qFormat/>
    <w:uiPriority w:val="99"/>
    <w:rPr>
      <w:b/>
      <w:bCs/>
    </w:rPr>
  </w:style>
  <w:style w:type="table" w:styleId="35">
    <w:name w:val="Table Grid"/>
    <w:basedOn w:val="34"/>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6">
    <w:name w:val="Light Shading"/>
    <w:basedOn w:val="34"/>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styleId="137">
    <w:name w:val="annotation reference"/>
    <w:basedOn w:val="134"/>
    <w:semiHidden/>
    <w:unhideWhenUsed/>
    <w:uiPriority w:val="99"/>
    <w:rPr>
      <w:sz w:val="21"/>
      <w:szCs w:val="21"/>
    </w:rPr>
  </w:style>
  <w:style w:type="character" w:customStyle="1" w:styleId="138">
    <w:name w:val="页眉 字符"/>
    <w:basedOn w:val="134"/>
    <w:link w:val="26"/>
    <w:qFormat/>
    <w:uiPriority w:val="99"/>
  </w:style>
  <w:style w:type="character" w:customStyle="1" w:styleId="139">
    <w:name w:val="页脚 字符"/>
    <w:basedOn w:val="134"/>
    <w:link w:val="25"/>
    <w:uiPriority w:val="99"/>
  </w:style>
  <w:style w:type="paragraph" w:styleId="140">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1">
    <w:name w:val="标题 1 字符"/>
    <w:basedOn w:val="13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2">
    <w:name w:val="标题 2 字符"/>
    <w:basedOn w:val="134"/>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3">
    <w:name w:val="标题 3 字符"/>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4">
    <w:name w:val="标题 字符"/>
    <w:basedOn w:val="134"/>
    <w:link w:val="32"/>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5">
    <w:name w:val="副标题 字符"/>
    <w:basedOn w:val="134"/>
    <w:link w:val="27"/>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6">
    <w:name w:val="List Paragraph"/>
    <w:basedOn w:val="1"/>
    <w:qFormat/>
    <w:uiPriority w:val="34"/>
    <w:pPr>
      <w:ind w:left="720"/>
      <w:contextualSpacing/>
    </w:pPr>
  </w:style>
  <w:style w:type="character" w:customStyle="1" w:styleId="147">
    <w:name w:val="正文文本 字符"/>
    <w:basedOn w:val="134"/>
    <w:link w:val="20"/>
    <w:uiPriority w:val="99"/>
  </w:style>
  <w:style w:type="character" w:customStyle="1" w:styleId="148">
    <w:name w:val="正文文本 2 字符"/>
    <w:basedOn w:val="134"/>
    <w:link w:val="29"/>
    <w:qFormat/>
    <w:uiPriority w:val="99"/>
  </w:style>
  <w:style w:type="character" w:customStyle="1" w:styleId="149">
    <w:name w:val="正文文本 3 字符"/>
    <w:basedOn w:val="134"/>
    <w:link w:val="18"/>
    <w:uiPriority w:val="99"/>
    <w:rPr>
      <w:sz w:val="16"/>
      <w:szCs w:val="16"/>
    </w:rPr>
  </w:style>
  <w:style w:type="character" w:customStyle="1" w:styleId="150">
    <w:name w:val="宏文本 字符"/>
    <w:basedOn w:val="134"/>
    <w:link w:val="2"/>
    <w:qFormat/>
    <w:uiPriority w:val="99"/>
    <w:rPr>
      <w:rFonts w:ascii="Courier" w:hAnsi="Courier"/>
      <w:sz w:val="20"/>
      <w:szCs w:val="20"/>
    </w:rPr>
  </w:style>
  <w:style w:type="paragraph" w:styleId="151">
    <w:name w:val="Quote"/>
    <w:basedOn w:val="1"/>
    <w:next w:val="1"/>
    <w:link w:val="152"/>
    <w:qFormat/>
    <w:uiPriority w:val="29"/>
    <w:rPr>
      <w:i/>
      <w:iCs/>
      <w:color w:val="000000" w:themeColor="text1"/>
      <w14:textFill>
        <w14:solidFill>
          <w14:schemeClr w14:val="tx1"/>
        </w14:solidFill>
      </w14:textFill>
    </w:rPr>
  </w:style>
  <w:style w:type="character" w:customStyle="1" w:styleId="152">
    <w:name w:val="引用 字符"/>
    <w:basedOn w:val="134"/>
    <w:link w:val="151"/>
    <w:qFormat/>
    <w:uiPriority w:val="29"/>
    <w:rPr>
      <w:i/>
      <w:iCs/>
      <w:color w:val="000000" w:themeColor="text1"/>
      <w14:textFill>
        <w14:solidFill>
          <w14:schemeClr w14:val="tx1"/>
        </w14:solidFill>
      </w14:textFill>
    </w:rPr>
  </w:style>
  <w:style w:type="character" w:customStyle="1" w:styleId="153">
    <w:name w:val="标题 4 字符"/>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4">
    <w:name w:val="标题 5 字符"/>
    <w:basedOn w:val="134"/>
    <w:link w:val="7"/>
    <w:semiHidden/>
    <w:uiPriority w:val="9"/>
    <w:rPr>
      <w:rFonts w:asciiTheme="majorHAnsi" w:hAnsiTheme="majorHAnsi" w:eastAsiaTheme="majorEastAsia" w:cstheme="majorBidi"/>
      <w:color w:val="254061" w:themeColor="accent1" w:themeShade="80"/>
    </w:rPr>
  </w:style>
  <w:style w:type="character" w:customStyle="1" w:styleId="155">
    <w:name w:val="标题 6 字符"/>
    <w:basedOn w:val="134"/>
    <w:link w:val="8"/>
    <w:semiHidden/>
    <w:uiPriority w:val="9"/>
    <w:rPr>
      <w:rFonts w:asciiTheme="majorHAnsi" w:hAnsiTheme="majorHAnsi" w:eastAsiaTheme="majorEastAsia" w:cstheme="majorBidi"/>
      <w:i/>
      <w:iCs/>
      <w:color w:val="254061" w:themeColor="accent1" w:themeShade="80"/>
    </w:rPr>
  </w:style>
  <w:style w:type="character" w:customStyle="1" w:styleId="156">
    <w:name w:val="标题 7 字符"/>
    <w:basedOn w:val="134"/>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7">
    <w:name w:val="标题 8 字符"/>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8">
    <w:name w:val="标题 9 字符"/>
    <w:basedOn w:val="134"/>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9">
    <w:name w:val="Intense Quote"/>
    <w:basedOn w:val="1"/>
    <w:next w:val="1"/>
    <w:link w:val="160"/>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0">
    <w:name w:val="明显引用 字符"/>
    <w:basedOn w:val="134"/>
    <w:link w:val="159"/>
    <w:uiPriority w:val="30"/>
    <w:rPr>
      <w:b/>
      <w:bCs/>
      <w:i/>
      <w:iCs/>
      <w:color w:val="4F81BD" w:themeColor="accent1"/>
      <w14:textFill>
        <w14:solidFill>
          <w14:schemeClr w14:val="accent1"/>
        </w14:solidFill>
      </w14:textFill>
    </w:rPr>
  </w:style>
  <w:style w:type="character" w:customStyle="1" w:styleId="161">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2">
    <w:name w:val="Intense Emphasis"/>
    <w:basedOn w:val="134"/>
    <w:qFormat/>
    <w:uiPriority w:val="21"/>
    <w:rPr>
      <w:b/>
      <w:bCs/>
      <w:i/>
      <w:iCs/>
      <w:color w:val="4F81BD" w:themeColor="accent1"/>
      <w14:textFill>
        <w14:solidFill>
          <w14:schemeClr w14:val="accent1"/>
        </w14:solidFill>
      </w14:textFill>
    </w:rPr>
  </w:style>
  <w:style w:type="character" w:customStyle="1" w:styleId="163">
    <w:name w:val="Subtle Reference"/>
    <w:basedOn w:val="134"/>
    <w:qFormat/>
    <w:uiPriority w:val="31"/>
    <w:rPr>
      <w:smallCaps/>
      <w:color w:val="C0504D" w:themeColor="accent2"/>
      <w:u w:val="single"/>
      <w14:textFill>
        <w14:solidFill>
          <w14:schemeClr w14:val="accent2"/>
        </w14:solidFill>
      </w14:textFill>
    </w:rPr>
  </w:style>
  <w:style w:type="character" w:customStyle="1" w:styleId="164">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5">
    <w:name w:val="Book Title"/>
    <w:basedOn w:val="134"/>
    <w:qFormat/>
    <w:uiPriority w:val="33"/>
    <w:rPr>
      <w:b/>
      <w:bCs/>
      <w:smallCaps/>
      <w:spacing w:val="5"/>
    </w:rPr>
  </w:style>
  <w:style w:type="paragraph" w:customStyle="1" w:styleId="166">
    <w:name w:val="TOC Heading"/>
    <w:basedOn w:val="3"/>
    <w:next w:val="1"/>
    <w:semiHidden/>
    <w:unhideWhenUsed/>
    <w:qFormat/>
    <w:uiPriority w:val="39"/>
    <w:pPr>
      <w:outlineLvl w:val="9"/>
    </w:pPr>
  </w:style>
  <w:style w:type="character" w:customStyle="1" w:styleId="167">
    <w:name w:val="批注文字 字符"/>
    <w:basedOn w:val="134"/>
    <w:link w:val="17"/>
    <w:uiPriority w:val="99"/>
    <w:rPr>
      <w:rFonts w:ascii="仿宋" w:hAnsi="仿宋" w:eastAsia="仿宋"/>
      <w:sz w:val="28"/>
    </w:rPr>
  </w:style>
  <w:style w:type="character" w:customStyle="1" w:styleId="168">
    <w:name w:val="批注主题 字符"/>
    <w:basedOn w:val="167"/>
    <w:link w:val="33"/>
    <w:semiHidden/>
    <w:uiPriority w:val="99"/>
    <w:rPr>
      <w:rFonts w:ascii="仿宋" w:hAnsi="仿宋" w:eastAsia="仿宋"/>
      <w:b/>
      <w:bCs/>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8</Pages>
  <Words>3441</Words>
  <Characters>3586</Characters>
  <Lines>96</Lines>
  <Paragraphs>117</Paragraphs>
  <TotalTime>1</TotalTime>
  <ScaleCrop>false</ScaleCrop>
  <LinksUpToDate>false</LinksUpToDate>
  <CharactersWithSpaces>3633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Tcong</cp:lastModifiedBy>
  <dcterms:modified xsi:type="dcterms:W3CDTF">2026-09-09T09:01:30Z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eyJoZGlkIjoiYTQ1YjcyN2JkNTA4MzdkNTM0OTM4MGYxYTYyMGI4YmQiLCJ1c2VySWQiOiIyMjkyMjE0NjkifQ==</vt:lpwstr>
  </property>
  <property fmtid="{D5CDD505-2E9C-101B-9397-08002B2CF9AE}" pid="3" name="KSOProductBuildVer">
    <vt:lpwstr>2052-12.1.0.28043</vt:lpwstr>
  </property>
  <property fmtid="{D5CDD505-2E9C-101B-9397-08002B2CF9AE}" pid="4" name="ICV">
    <vt:lpwstr>1FE6C95755524370B409E6CBFF356A6F_13</vt:lpwstr>
  </property>
</Properties>
</file>