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D206EA">
      <w:pPr>
        <w:spacing w:line="590" w:lineRule="exact"/>
        <w:jc w:val="center"/>
        <w:rPr>
          <w:rFonts w:hint="eastAsia" w:ascii="方正小标宋简体" w:eastAsia="方正小标宋简体"/>
          <w:color w:val="000000"/>
          <w:sz w:val="44"/>
          <w:szCs w:val="44"/>
        </w:rPr>
      </w:pPr>
      <w:r>
        <w:rPr>
          <w:rFonts w:hint="eastAsia" w:ascii="方正小标宋简体" w:eastAsia="方正小标宋简体"/>
          <w:color w:val="000000"/>
          <w:sz w:val="44"/>
          <w:szCs w:val="44"/>
        </w:rPr>
        <w:t>大连高新技术产业园区龙王塘渔港港章</w:t>
      </w:r>
    </w:p>
    <w:p w14:paraId="101B6E8C">
      <w:pPr>
        <w:spacing w:line="590" w:lineRule="exact"/>
        <w:jc w:val="center"/>
        <w:rPr>
          <w:rFonts w:hint="eastAsia" w:ascii="CESI楷体-GB2312" w:hAnsi="CESI楷体-GB2312" w:eastAsia="CESI楷体-GB2312" w:cs="CESI楷体-GB2312"/>
          <w:color w:val="000000"/>
          <w:sz w:val="32"/>
          <w:szCs w:val="32"/>
          <w:lang w:eastAsia="zh-CN"/>
        </w:rPr>
      </w:pPr>
      <w:r>
        <w:rPr>
          <w:rFonts w:hint="eastAsia" w:ascii="CESI楷体-GB2312" w:hAnsi="CESI楷体-GB2312" w:eastAsia="CESI楷体-GB2312" w:cs="CESI楷体-GB2312"/>
          <w:color w:val="000000"/>
          <w:sz w:val="32"/>
          <w:szCs w:val="32"/>
          <w:lang w:eastAsia="zh-CN"/>
        </w:rPr>
        <w:t>（征求意见稿）</w:t>
      </w:r>
    </w:p>
    <w:p w14:paraId="48E0F844">
      <w:pPr>
        <w:jc w:val="center"/>
        <w:rPr>
          <w:b/>
          <w:bCs/>
        </w:rPr>
      </w:pPr>
    </w:p>
    <w:p w14:paraId="5A9C3E99">
      <w:pPr>
        <w:jc w:val="center"/>
        <w:rPr>
          <w:b/>
          <w:bCs/>
          <w:sz w:val="32"/>
          <w:szCs w:val="32"/>
        </w:rPr>
      </w:pPr>
      <w:r>
        <w:rPr>
          <w:rFonts w:hint="eastAsia"/>
          <w:b/>
          <w:bCs/>
          <w:sz w:val="32"/>
          <w:szCs w:val="32"/>
        </w:rPr>
        <w:t>第一章 总则</w:t>
      </w:r>
    </w:p>
    <w:p w14:paraId="742CFF0A">
      <w:pPr>
        <w:ind w:firstLine="562" w:firstLineChars="200"/>
      </w:pPr>
      <w:r>
        <w:rPr>
          <w:rFonts w:hint="eastAsia"/>
          <w:b/>
          <w:bCs/>
        </w:rPr>
        <w:t>第一条</w:t>
      </w:r>
      <w:r>
        <w:rPr>
          <w:rFonts w:hint="eastAsia"/>
        </w:rPr>
        <w:t xml:space="preserve">  为维护渔港秩序，保护渔港环境，促进渔业经济发展，加强渔港监督管理，保障渔港设施、渔业船舶、公民人身及财产安全，根据《中华人民共和国渔业法》《中华人民共和国海上交通安全法》《中华人民共和国海洋环境保护法》《中华人民共和国渔港水域交通安全管理条例》《辽宁省渔港管理条例》和《</w:t>
      </w:r>
      <w:bookmarkStart w:id="0" w:name="_Hlk188213936"/>
      <w:r>
        <w:rPr>
          <w:rFonts w:hint="eastAsia"/>
        </w:rPr>
        <w:t>辽宁省海洋渔业安全管理条例</w:t>
      </w:r>
      <w:bookmarkEnd w:id="0"/>
      <w:r>
        <w:rPr>
          <w:rFonts w:hint="eastAsia"/>
        </w:rPr>
        <w:t>》等有关法律、法规，结合龙王塘渔港实际，制定本港章。</w:t>
      </w:r>
    </w:p>
    <w:p w14:paraId="26FB7706">
      <w:pPr>
        <w:ind w:firstLine="562" w:firstLineChars="200"/>
      </w:pPr>
      <w:r>
        <w:rPr>
          <w:rFonts w:hint="eastAsia"/>
          <w:b/>
          <w:bCs/>
        </w:rPr>
        <w:t xml:space="preserve">第二条 </w:t>
      </w:r>
      <w:r>
        <w:rPr>
          <w:rFonts w:hint="eastAsia"/>
        </w:rPr>
        <w:t>本港章适用于龙王塘渔港内航行、停泊、作业的船舶及</w:t>
      </w:r>
      <w:r>
        <w:t>从事渔港管理、经营</w:t>
      </w:r>
      <w:r>
        <w:rPr>
          <w:rFonts w:hint="eastAsia"/>
        </w:rPr>
        <w:t>及其相关活动</w:t>
      </w:r>
      <w:r>
        <w:t>的公民、法人和其他组织。</w:t>
      </w:r>
    </w:p>
    <w:p w14:paraId="400F21DC">
      <w:pPr>
        <w:jc w:val="center"/>
        <w:rPr>
          <w:b/>
          <w:bCs/>
          <w:sz w:val="32"/>
          <w:szCs w:val="32"/>
        </w:rPr>
      </w:pPr>
      <w:r>
        <w:rPr>
          <w:rFonts w:hint="eastAsia"/>
          <w:b/>
          <w:bCs/>
          <w:sz w:val="32"/>
          <w:szCs w:val="32"/>
        </w:rPr>
        <w:t xml:space="preserve">第二章 </w:t>
      </w:r>
      <w:r>
        <w:rPr>
          <w:b/>
          <w:bCs/>
          <w:sz w:val="32"/>
          <w:szCs w:val="32"/>
        </w:rPr>
        <w:t xml:space="preserve"> </w:t>
      </w:r>
      <w:r>
        <w:rPr>
          <w:rFonts w:hint="eastAsia"/>
          <w:b/>
          <w:bCs/>
          <w:sz w:val="32"/>
          <w:szCs w:val="32"/>
        </w:rPr>
        <w:t>渔港概况</w:t>
      </w:r>
    </w:p>
    <w:p w14:paraId="3AC33C7A">
      <w:pPr>
        <w:ind w:firstLine="562" w:firstLineChars="200"/>
      </w:pPr>
      <w:r>
        <w:rPr>
          <w:rFonts w:hint="eastAsia"/>
          <w:b/>
          <w:bCs/>
        </w:rPr>
        <w:t xml:space="preserve">第三条 </w:t>
      </w:r>
      <w:r>
        <w:rPr>
          <w:rFonts w:hint="eastAsia"/>
        </w:rPr>
        <w:t>龙王塘渔港</w:t>
      </w:r>
      <w:r>
        <w:t>位于</w:t>
      </w:r>
      <w:r>
        <w:rPr>
          <w:rFonts w:hint="eastAsia"/>
        </w:rPr>
        <w:t>大连高新技术产业园区</w:t>
      </w:r>
      <w:r>
        <w:t>龙王塘街道</w:t>
      </w:r>
      <w:r>
        <w:rPr>
          <w:rFonts w:hint="eastAsia"/>
        </w:rPr>
        <w:t>以南</w:t>
      </w:r>
      <w:r>
        <w:t>，黄海之滨的龙王塘湾内</w:t>
      </w:r>
      <w:r>
        <w:rPr>
          <w:rFonts w:hint="eastAsia"/>
        </w:rPr>
        <w:t>。</w:t>
      </w:r>
    </w:p>
    <w:p w14:paraId="181459E3">
      <w:pPr>
        <w:ind w:firstLine="562" w:firstLineChars="200"/>
      </w:pPr>
      <w:r>
        <w:rPr>
          <w:rFonts w:hint="eastAsia"/>
          <w:b/>
          <w:bCs/>
        </w:rPr>
        <w:t xml:space="preserve">第四条 </w:t>
      </w:r>
      <w:r>
        <w:rPr>
          <w:rFonts w:hint="eastAsia"/>
        </w:rPr>
        <w:t>本港地处大连市西南，</w:t>
      </w:r>
      <w:r>
        <w:t>属于具有海洋性特点的温带季风气候</w:t>
      </w:r>
      <w:r>
        <w:rPr>
          <w:rFonts w:hint="eastAsia"/>
        </w:rPr>
        <w:t>，年平均气温</w:t>
      </w:r>
      <w:r>
        <w:t>10.5℃</w:t>
      </w:r>
      <w:r>
        <w:rPr>
          <w:rFonts w:hint="eastAsia"/>
        </w:rPr>
        <w:t>，冬季以西北风为主，夏季多东南风。本港海域潮汐为规则半日潮，最大潮差4.39m，平均潮差2.1m。</w:t>
      </w:r>
    </w:p>
    <w:p w14:paraId="46CD51E0">
      <w:pPr>
        <w:ind w:firstLine="562" w:firstLineChars="200"/>
      </w:pPr>
      <w:r>
        <w:rPr>
          <w:rFonts w:hint="eastAsia"/>
          <w:b/>
          <w:bCs/>
        </w:rPr>
        <w:t xml:space="preserve">第五条 </w:t>
      </w:r>
      <w:r>
        <w:rPr>
          <w:rFonts w:hint="eastAsia"/>
        </w:rPr>
        <w:t>本港港界范围为：南北纵长约</w:t>
      </w:r>
      <w:r>
        <w:t>2.0</w:t>
      </w:r>
      <w:r>
        <w:rPr>
          <w:rFonts w:hint="eastAsia"/>
        </w:rPr>
        <w:t>公里，东西宽约</w:t>
      </w:r>
      <w:r>
        <w:t>1.4</w:t>
      </w:r>
      <w:r>
        <w:rPr>
          <w:rFonts w:hint="eastAsia"/>
        </w:rPr>
        <w:t>公里，总面积1</w:t>
      </w:r>
      <w:r>
        <w:t>24.11</w:t>
      </w:r>
      <w:r>
        <w:rPr>
          <w:rFonts w:hint="eastAsia"/>
        </w:rPr>
        <w:t>万平方米，分水域和陆域两大部分，其中陆域面积</w:t>
      </w:r>
      <w:r>
        <w:t>77.23</w:t>
      </w:r>
      <w:r>
        <w:rPr>
          <w:rFonts w:hint="eastAsia"/>
        </w:rPr>
        <w:t>万平方米，水域面积4</w:t>
      </w:r>
      <w:r>
        <w:t>6.88</w:t>
      </w:r>
      <w:r>
        <w:rPr>
          <w:rFonts w:hint="eastAsia"/>
        </w:rPr>
        <w:t>万平方米。（具体坐标范围详见龙王塘渔港港界范围图）</w:t>
      </w:r>
    </w:p>
    <w:p w14:paraId="3B5A41B2">
      <w:pPr>
        <w:jc w:val="center"/>
        <w:rPr>
          <w:b/>
          <w:bCs/>
          <w:sz w:val="32"/>
          <w:szCs w:val="32"/>
        </w:rPr>
      </w:pPr>
      <w:r>
        <w:rPr>
          <w:rFonts w:hint="eastAsia"/>
          <w:b/>
          <w:bCs/>
          <w:sz w:val="32"/>
          <w:szCs w:val="32"/>
        </w:rPr>
        <w:t xml:space="preserve">第三章 </w:t>
      </w:r>
      <w:r>
        <w:rPr>
          <w:b/>
          <w:bCs/>
          <w:sz w:val="32"/>
          <w:szCs w:val="32"/>
        </w:rPr>
        <w:t xml:space="preserve"> </w:t>
      </w:r>
      <w:r>
        <w:rPr>
          <w:rFonts w:hint="eastAsia"/>
          <w:b/>
          <w:bCs/>
          <w:sz w:val="32"/>
          <w:szCs w:val="32"/>
        </w:rPr>
        <w:t>渔港管理机构</w:t>
      </w:r>
    </w:p>
    <w:p w14:paraId="742927ED">
      <w:pPr>
        <w:ind w:firstLine="562" w:firstLineChars="200"/>
      </w:pPr>
      <w:r>
        <w:rPr>
          <w:rFonts w:hint="eastAsia"/>
          <w:b/>
          <w:bCs/>
        </w:rPr>
        <w:t xml:space="preserve">第六条 </w:t>
      </w:r>
      <w:r>
        <w:rPr>
          <w:rFonts w:hint="eastAsia"/>
        </w:rPr>
        <w:t>中华人民共和国大连高新技术产业园区社会管理局(以下简称社管局)</w:t>
      </w:r>
      <w:r>
        <w:rPr>
          <w:rFonts w:hint="eastAsia"/>
          <w:color w:val="000000" w:themeColor="text1"/>
          <w14:textFill>
            <w14:solidFill>
              <w14:schemeClr w14:val="tx1"/>
            </w14:solidFill>
          </w14:textFill>
        </w:rPr>
        <w:t>是龙王塘渔港的渔业行政主管部门</w:t>
      </w:r>
      <w:r>
        <w:rPr>
          <w:rFonts w:hint="eastAsia"/>
        </w:rPr>
        <w:t>，负责组织渔港建设规划等工作，依法对渔港、渔业船舶进行监督管理。</w:t>
      </w:r>
    </w:p>
    <w:p w14:paraId="2CEC7786">
      <w:pPr>
        <w:ind w:firstLine="560" w:firstLineChars="200"/>
      </w:pPr>
      <w:r>
        <w:rPr>
          <w:rFonts w:hint="eastAsia"/>
        </w:rPr>
        <w:t>大连高新技术产业园区社会管理局派驻本港的渔政渔港监督管理机构，是对本渔港实施监督管理的常设机构，依法负责对本渔港水域交通安全实施监督管理的具体工作。</w:t>
      </w:r>
    </w:p>
    <w:p w14:paraId="0615B499">
      <w:pPr>
        <w:ind w:firstLine="562" w:firstLineChars="200"/>
      </w:pPr>
      <w:r>
        <w:rPr>
          <w:rFonts w:hint="eastAsia"/>
          <w:b/>
          <w:bCs/>
        </w:rPr>
        <w:t xml:space="preserve">第七条 </w:t>
      </w:r>
      <w:r>
        <w:rPr>
          <w:rFonts w:hint="eastAsia"/>
        </w:rPr>
        <w:t>涉及本渔港管理的海事、交通运输、公安、应急管理、市场监管、自然资源、海洋综合执法、生态环境等部门根据各自职责负责相应的管理工作。</w:t>
      </w:r>
    </w:p>
    <w:p w14:paraId="22C51E4B">
      <w:pPr>
        <w:jc w:val="center"/>
        <w:rPr>
          <w:b/>
          <w:bCs/>
          <w:sz w:val="32"/>
          <w:szCs w:val="32"/>
        </w:rPr>
      </w:pPr>
      <w:r>
        <w:rPr>
          <w:rFonts w:hint="eastAsia"/>
          <w:b/>
          <w:bCs/>
          <w:sz w:val="32"/>
          <w:szCs w:val="32"/>
        </w:rPr>
        <w:t xml:space="preserve">第四章 </w:t>
      </w:r>
      <w:r>
        <w:rPr>
          <w:b/>
          <w:bCs/>
          <w:sz w:val="32"/>
          <w:szCs w:val="32"/>
        </w:rPr>
        <w:t xml:space="preserve"> </w:t>
      </w:r>
      <w:r>
        <w:rPr>
          <w:rFonts w:hint="eastAsia"/>
          <w:b/>
          <w:bCs/>
          <w:sz w:val="32"/>
          <w:szCs w:val="32"/>
        </w:rPr>
        <w:t>渔港经营与服务</w:t>
      </w:r>
    </w:p>
    <w:p w14:paraId="2735DC04">
      <w:pPr>
        <w:ind w:firstLine="562" w:firstLineChars="200"/>
      </w:pPr>
      <w:r>
        <w:rPr>
          <w:rFonts w:hint="eastAsia"/>
          <w:b/>
          <w:bCs/>
        </w:rPr>
        <w:t>第八条</w:t>
      </w:r>
      <w:r>
        <w:rPr>
          <w:rFonts w:hint="eastAsia"/>
        </w:rPr>
        <w:t xml:space="preserve"> 在本港从事经营活动，应当遵守有关法律、法规和规章的规定，为客户提供公平、良好服务，不得强买强卖或者为涉渔“三无”船舶提供服务。</w:t>
      </w:r>
    </w:p>
    <w:p w14:paraId="175C645E">
      <w:pPr>
        <w:ind w:firstLine="562" w:firstLineChars="200"/>
      </w:pPr>
      <w:r>
        <w:rPr>
          <w:rFonts w:hint="eastAsia"/>
          <w:b/>
          <w:bCs/>
        </w:rPr>
        <w:t xml:space="preserve">第九条 </w:t>
      </w:r>
      <w:r>
        <w:rPr>
          <w:rFonts w:hint="eastAsia"/>
        </w:rPr>
        <w:t>本港经营人为辽宁省大连市高新园区龙王塘街道龙王塘村村民委员会，</w:t>
      </w:r>
      <w:bookmarkStart w:id="1" w:name="_GoBack"/>
      <w:bookmarkEnd w:id="1"/>
      <w:r>
        <w:rPr>
          <w:rFonts w:hint="eastAsia"/>
        </w:rPr>
        <w:t>是本渔港的港务管理机构，具体负责港务管理工作，维护港区生产经营秩序，定期维护渔港设施，保障设施正常运行，</w:t>
      </w:r>
      <w:r>
        <w:t>负责制定安全应急处置预案并组织实施</w:t>
      </w:r>
      <w:r>
        <w:rPr>
          <w:rFonts w:hint="eastAsia"/>
        </w:rPr>
        <w:t>。</w:t>
      </w:r>
    </w:p>
    <w:p w14:paraId="03CD022B">
      <w:pPr>
        <w:ind w:firstLine="562" w:firstLineChars="200"/>
      </w:pPr>
      <w:r>
        <w:rPr>
          <w:rFonts w:hint="eastAsia"/>
          <w:b/>
          <w:bCs/>
        </w:rPr>
        <w:t xml:space="preserve">第十条 </w:t>
      </w:r>
      <w:r>
        <w:rPr>
          <w:rFonts w:hint="eastAsia"/>
        </w:rPr>
        <w:t>本港之外的单位进入本港为渔船提供燃油补给、渔获物装卸等经营活动，须经渔港港务管理机构同意，作业过程中，应当服从调度和指挥。</w:t>
      </w:r>
    </w:p>
    <w:p w14:paraId="278D3599">
      <w:pPr>
        <w:jc w:val="center"/>
        <w:rPr>
          <w:b/>
          <w:bCs/>
          <w:sz w:val="32"/>
          <w:szCs w:val="32"/>
        </w:rPr>
      </w:pPr>
      <w:r>
        <w:rPr>
          <w:rFonts w:hint="eastAsia"/>
          <w:b/>
          <w:bCs/>
          <w:sz w:val="32"/>
          <w:szCs w:val="32"/>
        </w:rPr>
        <w:t xml:space="preserve">第五章 </w:t>
      </w:r>
      <w:r>
        <w:rPr>
          <w:b/>
          <w:bCs/>
          <w:sz w:val="32"/>
          <w:szCs w:val="32"/>
        </w:rPr>
        <w:t xml:space="preserve"> </w:t>
      </w:r>
      <w:r>
        <w:rPr>
          <w:rFonts w:hint="eastAsia"/>
          <w:b/>
          <w:bCs/>
          <w:sz w:val="32"/>
          <w:szCs w:val="32"/>
        </w:rPr>
        <w:t>渔业船舶管理</w:t>
      </w:r>
    </w:p>
    <w:p w14:paraId="1AA652F9">
      <w:pPr>
        <w:ind w:firstLine="562" w:firstLineChars="200"/>
      </w:pPr>
      <w:r>
        <w:rPr>
          <w:rFonts w:hint="eastAsia"/>
          <w:b/>
          <w:bCs/>
        </w:rPr>
        <w:t xml:space="preserve">第十一条 </w:t>
      </w:r>
      <w:r>
        <w:rPr>
          <w:rFonts w:hint="eastAsia"/>
        </w:rPr>
        <w:t>进出本渔港的渔业船舶，应具备以下条件：</w:t>
      </w:r>
    </w:p>
    <w:p w14:paraId="7C5A2906">
      <w:pPr>
        <w:ind w:firstLine="560" w:firstLineChars="200"/>
        <w:rPr>
          <w:rFonts w:hint="eastAsia" w:eastAsia="宋体"/>
          <w:lang w:eastAsia="zh-CN"/>
        </w:rPr>
      </w:pPr>
      <w:r>
        <w:rPr>
          <w:rFonts w:hint="eastAsia"/>
        </w:rPr>
        <w:t>（一）按规定标示船名号、船籍港</w:t>
      </w:r>
      <w:r>
        <w:rPr>
          <w:rFonts w:hint="eastAsia"/>
          <w:lang w:eastAsia="zh-CN"/>
        </w:rPr>
        <w:t>；</w:t>
      </w:r>
    </w:p>
    <w:p w14:paraId="3DF2265D">
      <w:pPr>
        <w:ind w:firstLine="560" w:firstLineChars="200"/>
        <w:rPr>
          <w:rFonts w:hint="eastAsia" w:eastAsia="宋体"/>
          <w:lang w:eastAsia="zh-CN"/>
        </w:rPr>
      </w:pPr>
      <w:r>
        <w:rPr>
          <w:rFonts w:hint="eastAsia"/>
        </w:rPr>
        <w:t>（二）有效船舶证书</w:t>
      </w:r>
      <w:r>
        <w:rPr>
          <w:rFonts w:hint="eastAsia"/>
          <w:lang w:eastAsia="zh-CN"/>
        </w:rPr>
        <w:t>：</w:t>
      </w:r>
      <w:r>
        <w:rPr>
          <w:rFonts w:hint="eastAsia"/>
        </w:rPr>
        <w:t>国籍（登记）证书、船舶检验证书、渔业捕捞许可证（辅助许可证）</w:t>
      </w:r>
      <w:r>
        <w:rPr>
          <w:rFonts w:hint="eastAsia"/>
          <w:lang w:eastAsia="zh-CN"/>
        </w:rPr>
        <w:t>；</w:t>
      </w:r>
    </w:p>
    <w:p w14:paraId="21B1457F">
      <w:pPr>
        <w:ind w:firstLine="560" w:firstLineChars="200"/>
        <w:rPr>
          <w:rFonts w:hint="eastAsia" w:eastAsia="宋体"/>
          <w:lang w:eastAsia="zh-CN"/>
        </w:rPr>
      </w:pPr>
      <w:r>
        <w:rPr>
          <w:rFonts w:hint="eastAsia"/>
        </w:rPr>
        <w:t>（三）按规定配齐船员、职务船员，并持有相应有效的适任证书</w:t>
      </w:r>
      <w:r>
        <w:rPr>
          <w:rFonts w:hint="eastAsia"/>
          <w:lang w:eastAsia="zh-CN"/>
        </w:rPr>
        <w:t>；</w:t>
      </w:r>
    </w:p>
    <w:p w14:paraId="667681AC">
      <w:pPr>
        <w:ind w:firstLine="560" w:firstLineChars="200"/>
      </w:pPr>
      <w:r>
        <w:rPr>
          <w:rFonts w:hint="eastAsia"/>
        </w:rPr>
        <w:t>（四）船舶处于适航状态，救生、消防、信号及通讯、导航等事关安全的设施设备及防污染设备按规定配备齐全，且处于良好使用状态。</w:t>
      </w:r>
    </w:p>
    <w:p w14:paraId="577B0FC1">
      <w:pPr>
        <w:ind w:firstLine="562" w:firstLineChars="200"/>
      </w:pPr>
      <w:r>
        <w:rPr>
          <w:rFonts w:hint="eastAsia"/>
          <w:b/>
          <w:bCs/>
        </w:rPr>
        <w:t xml:space="preserve">第十二条 </w:t>
      </w:r>
      <w:r>
        <w:rPr>
          <w:rFonts w:hint="eastAsia"/>
        </w:rPr>
        <w:t>本渔港实行渔业船舶进出港报告制。凡进出渔港的渔业船舶（船长12米及以上）事前按规定主动通过“进出渔港报告系统”报告抵离港时间。船长为船舶进出渔港报告的第一责任人，并对信息的完整性和真实性负责。</w:t>
      </w:r>
    </w:p>
    <w:p w14:paraId="5F3272BA">
      <w:pPr>
        <w:ind w:firstLine="560" w:firstLineChars="200"/>
      </w:pPr>
      <w:r>
        <w:rPr>
          <w:rFonts w:hint="eastAsia"/>
        </w:rPr>
        <w:t>进港报告内容包括：拟进渔港、拟进港时间、船舶配员情况、渔获物品种和数量等。</w:t>
      </w:r>
    </w:p>
    <w:p w14:paraId="720FD637">
      <w:pPr>
        <w:ind w:firstLine="560" w:firstLineChars="200"/>
      </w:pPr>
      <w:r>
        <w:rPr>
          <w:rFonts w:hint="eastAsia"/>
        </w:rPr>
        <w:t>出港报告内容包括：拟出港时间，船舶配员情况，安全救生、消防、通导、信号等安全装备配备情况，携带网具类型和数量情况等。</w:t>
      </w:r>
    </w:p>
    <w:p w14:paraId="2F8DA993">
      <w:pPr>
        <w:ind w:firstLine="560" w:firstLineChars="200"/>
      </w:pPr>
      <w:r>
        <w:rPr>
          <w:rFonts w:hint="eastAsia"/>
        </w:rPr>
        <w:t>因天气或应急等特殊原因不能按规定程序报告的,进出港渔船应在进出港后24小时内补办报告手续。外省籍渔业船舶无法通过“进出渔港报告系统”报告的，需在进出港后24小时内补办报告手续。</w:t>
      </w:r>
    </w:p>
    <w:p w14:paraId="26003A39">
      <w:pPr>
        <w:ind w:firstLine="560" w:firstLineChars="200"/>
      </w:pPr>
      <w:r>
        <w:rPr>
          <w:rFonts w:hint="eastAsia"/>
        </w:rPr>
        <w:t>进出本渔港的非渔业船舶参照上述报告内容，向驻港渔政渔港监督管理机构报告。</w:t>
      </w:r>
    </w:p>
    <w:p w14:paraId="62F1472C">
      <w:pPr>
        <w:ind w:firstLine="560" w:firstLineChars="200"/>
      </w:pPr>
      <w:r>
        <w:rPr>
          <w:rFonts w:hint="eastAsia"/>
        </w:rPr>
        <w:t>船舶提交进出港报告后，未收到反馈信息，应主动联系驻港渔政渔港监督管理机构处理。</w:t>
      </w:r>
    </w:p>
    <w:p w14:paraId="5868422A">
      <w:pPr>
        <w:ind w:firstLine="562" w:firstLineChars="200"/>
      </w:pPr>
      <w:r>
        <w:rPr>
          <w:rFonts w:hint="eastAsia"/>
          <w:b/>
          <w:bCs/>
        </w:rPr>
        <w:t xml:space="preserve">第十三条 </w:t>
      </w:r>
      <w:r>
        <w:rPr>
          <w:rFonts w:hint="eastAsia"/>
        </w:rPr>
        <w:t>进出本渔港的渔业船舶，驻港渔政渔港监督管理机构须对其渔业船员的持证情况、任职资格和资历、履职情况、安全记录等进行监督检查，必要时需对船员等进行现场核验。</w:t>
      </w:r>
    </w:p>
    <w:p w14:paraId="7BE79485">
      <w:pPr>
        <w:ind w:firstLine="562" w:firstLineChars="200"/>
      </w:pPr>
      <w:r>
        <w:rPr>
          <w:rFonts w:hint="eastAsia"/>
          <w:b/>
          <w:bCs/>
        </w:rPr>
        <w:t xml:space="preserve">第十四条 </w:t>
      </w:r>
      <w:r>
        <w:rPr>
          <w:rFonts w:hint="eastAsia"/>
        </w:rPr>
        <w:t>港澳台渔船进出本渔港，除按规定接受联检以外，应遵守本港章的管理规定，并服从驻港渔政渔港监督管理机构的管理。外国籍船舶及非渔业船舶进出本渔港的按照国家有关规定执行。</w:t>
      </w:r>
    </w:p>
    <w:p w14:paraId="48057471">
      <w:pPr>
        <w:ind w:firstLine="562" w:firstLineChars="200"/>
      </w:pPr>
      <w:r>
        <w:rPr>
          <w:rFonts w:hint="eastAsia"/>
          <w:b/>
          <w:bCs/>
        </w:rPr>
        <w:t>第十五条</w:t>
      </w:r>
      <w:r>
        <w:rPr>
          <w:rFonts w:hint="eastAsia"/>
        </w:rPr>
        <w:t xml:space="preserve"> 船舶在港内航行，应使用安全航速，加强</w:t>
      </w:r>
      <w:r>
        <w:rPr>
          <w:rFonts w:hint="eastAsia"/>
          <w:lang w:eastAsia="zh-CN"/>
        </w:rPr>
        <w:t>瞭望</w:t>
      </w:r>
      <w:r>
        <w:rPr>
          <w:rFonts w:hint="eastAsia"/>
        </w:rPr>
        <w:t>谨慎驾驶，不得随意追越他船，不得影响其他船舶安全。</w:t>
      </w:r>
    </w:p>
    <w:p w14:paraId="741AAE46">
      <w:pPr>
        <w:ind w:firstLine="562" w:firstLineChars="200"/>
      </w:pPr>
      <w:r>
        <w:rPr>
          <w:rFonts w:hint="eastAsia"/>
          <w:b/>
          <w:bCs/>
        </w:rPr>
        <w:t>第十六条</w:t>
      </w:r>
      <w:r>
        <w:rPr>
          <w:rFonts w:hint="eastAsia"/>
        </w:rPr>
        <w:t xml:space="preserve"> 在港船舶应有序停泊，不得妨碍其他船舶移泊，锚泊船应加强人员值守，防止</w:t>
      </w:r>
      <w:r>
        <w:rPr>
          <w:rFonts w:hint="eastAsia"/>
          <w:lang w:eastAsia="zh-CN"/>
        </w:rPr>
        <w:t>走锚</w:t>
      </w:r>
      <w:r>
        <w:rPr>
          <w:rFonts w:hint="eastAsia"/>
        </w:rPr>
        <w:t>。在台风期</w:t>
      </w:r>
      <w:r>
        <w:rPr>
          <w:rFonts w:hint="eastAsia"/>
          <w:lang w:eastAsia="zh-CN"/>
        </w:rPr>
        <w:t>间</w:t>
      </w:r>
      <w:r>
        <w:rPr>
          <w:rFonts w:hint="eastAsia"/>
        </w:rPr>
        <w:t>，港内船舶应按照市渔业船舶防台工作预案进行调度，确保在紧急情况时能立即采取应急防范措施。</w:t>
      </w:r>
    </w:p>
    <w:p w14:paraId="7878B03B">
      <w:pPr>
        <w:jc w:val="center"/>
        <w:rPr>
          <w:b/>
          <w:bCs/>
          <w:sz w:val="32"/>
          <w:szCs w:val="32"/>
        </w:rPr>
      </w:pPr>
      <w:r>
        <w:rPr>
          <w:rFonts w:hint="eastAsia"/>
          <w:b/>
          <w:bCs/>
          <w:sz w:val="32"/>
          <w:szCs w:val="32"/>
        </w:rPr>
        <w:t xml:space="preserve">第六章 </w:t>
      </w:r>
      <w:r>
        <w:rPr>
          <w:b/>
          <w:bCs/>
          <w:sz w:val="32"/>
          <w:szCs w:val="32"/>
        </w:rPr>
        <w:t xml:space="preserve"> </w:t>
      </w:r>
      <w:r>
        <w:rPr>
          <w:rFonts w:hint="eastAsia"/>
          <w:b/>
          <w:bCs/>
          <w:sz w:val="32"/>
          <w:szCs w:val="32"/>
        </w:rPr>
        <w:t>渔获物的管理</w:t>
      </w:r>
    </w:p>
    <w:p w14:paraId="15534AD8">
      <w:pPr>
        <w:ind w:firstLine="562" w:firstLineChars="200"/>
      </w:pPr>
      <w:r>
        <w:rPr>
          <w:rFonts w:hint="eastAsia"/>
          <w:b/>
          <w:bCs/>
        </w:rPr>
        <w:t xml:space="preserve">第十七条 </w:t>
      </w:r>
      <w:r>
        <w:rPr>
          <w:rFonts w:hint="eastAsia"/>
        </w:rPr>
        <w:t>本渔港实行渔获物定点上岸制度，大中型捕捞渔船和各类辅助船舶，应在公布上岸点（包括临时上岸点）进行渔获物装卸上岸。</w:t>
      </w:r>
    </w:p>
    <w:p w14:paraId="3BC3A5F1">
      <w:pPr>
        <w:ind w:firstLine="562" w:firstLineChars="200"/>
      </w:pPr>
      <w:r>
        <w:rPr>
          <w:rFonts w:hint="eastAsia"/>
          <w:b/>
          <w:bCs/>
        </w:rPr>
        <w:t>第十八条</w:t>
      </w:r>
      <w:r>
        <w:rPr>
          <w:rFonts w:hint="eastAsia"/>
        </w:rPr>
        <w:t xml:space="preserve"> 渔业船舶进入渔港装卸渔获物的，应在进港报告时报告上岸点名称、作业渔区、作业时段、下网次数、渔获物品种、渔获物数量等信息。</w:t>
      </w:r>
    </w:p>
    <w:p w14:paraId="5B729E6D">
      <w:pPr>
        <w:ind w:firstLine="562" w:firstLineChars="200"/>
      </w:pPr>
      <w:r>
        <w:rPr>
          <w:rFonts w:hint="eastAsia"/>
          <w:b/>
          <w:bCs/>
        </w:rPr>
        <w:t>第十九条</w:t>
      </w:r>
      <w:r>
        <w:rPr>
          <w:rFonts w:hint="eastAsia"/>
        </w:rPr>
        <w:t xml:space="preserve"> 渔获物在本渔港上岸、交易时，有溯源管理要求的，应取得相关合法标签后，才准予离港。</w:t>
      </w:r>
    </w:p>
    <w:p w14:paraId="23AF972B">
      <w:pPr>
        <w:ind w:firstLine="562" w:firstLineChars="200"/>
      </w:pPr>
      <w:r>
        <w:rPr>
          <w:rFonts w:hint="eastAsia"/>
          <w:b/>
          <w:bCs/>
        </w:rPr>
        <w:t>第二十条</w:t>
      </w:r>
      <w:r>
        <w:rPr>
          <w:rFonts w:hint="eastAsia"/>
        </w:rPr>
        <w:t xml:space="preserve"> 大中型渔船从事捕捞活动应当填写渔捞日志，渔捞日志应当记载渔船捕捞作业、进港卸载渔获物、水上收购或转运渔获物等情况。返港后向港口所在地渔港管理站提交渔捞日志，使用电子渔捞日志的，应当每日提交。船长应对渔捞日志记录内容的真实性、正确性负责。</w:t>
      </w:r>
    </w:p>
    <w:p w14:paraId="4972E89C">
      <w:pPr>
        <w:ind w:firstLine="562" w:firstLineChars="200"/>
      </w:pPr>
      <w:r>
        <w:rPr>
          <w:rFonts w:hint="eastAsia"/>
          <w:b/>
          <w:bCs/>
        </w:rPr>
        <w:t>第二十一条</w:t>
      </w:r>
      <w:r>
        <w:rPr>
          <w:rFonts w:hint="eastAsia"/>
        </w:rPr>
        <w:t xml:space="preserve"> 捕捞渔船（包括休闲渔业船舶）应当遵守国家及本省关于海洋捕捞渔具及捕捞方法、禁渔区及禁渔期、海洋渔业资源重点保护品种幼鱼比例限量等规定。</w:t>
      </w:r>
    </w:p>
    <w:p w14:paraId="531CD55D">
      <w:pPr>
        <w:jc w:val="center"/>
        <w:rPr>
          <w:b/>
          <w:bCs/>
          <w:sz w:val="32"/>
          <w:szCs w:val="32"/>
        </w:rPr>
      </w:pPr>
      <w:r>
        <w:rPr>
          <w:rFonts w:hint="eastAsia"/>
          <w:b/>
          <w:bCs/>
          <w:sz w:val="32"/>
          <w:szCs w:val="32"/>
        </w:rPr>
        <w:t>第七章  渔港安全与环境保护</w:t>
      </w:r>
    </w:p>
    <w:p w14:paraId="1451458F">
      <w:pPr>
        <w:ind w:firstLine="562" w:firstLineChars="200"/>
      </w:pPr>
      <w:r>
        <w:rPr>
          <w:rFonts w:hint="eastAsia"/>
          <w:b/>
          <w:bCs/>
        </w:rPr>
        <w:t xml:space="preserve">第二十二条 </w:t>
      </w:r>
      <w:r>
        <w:rPr>
          <w:rFonts w:hint="eastAsia"/>
        </w:rPr>
        <w:t>在渔港内新建、改建、扩建各种设施，或者进行其他水上、水下施工作业的，应向社管局申报，并按照国家规定办理审批手续，由渔政渔港监督管理机构在施工前发布航行通告。</w:t>
      </w:r>
    </w:p>
    <w:p w14:paraId="14AEB907">
      <w:pPr>
        <w:ind w:firstLine="562" w:firstLineChars="200"/>
      </w:pPr>
      <w:r>
        <w:rPr>
          <w:rFonts w:hint="eastAsia"/>
          <w:b/>
          <w:bCs/>
        </w:rPr>
        <w:t>第二十三条</w:t>
      </w:r>
      <w:r>
        <w:rPr>
          <w:rFonts w:hint="eastAsia"/>
        </w:rPr>
        <w:t xml:space="preserve"> 从事渔港经营活动的组织、个人及船舶，应加强安全生产管理，保障渔港设施、码头、道路的正常运作，并对经营活动范围内的安全工作负责。</w:t>
      </w:r>
    </w:p>
    <w:p w14:paraId="16443C70">
      <w:pPr>
        <w:ind w:firstLine="562" w:firstLineChars="200"/>
      </w:pPr>
      <w:r>
        <w:rPr>
          <w:rFonts w:hint="eastAsia"/>
          <w:b/>
          <w:bCs/>
        </w:rPr>
        <w:t>第二十四条</w:t>
      </w:r>
      <w:r>
        <w:rPr>
          <w:rFonts w:hint="eastAsia"/>
        </w:rPr>
        <w:t xml:space="preserve"> 在本渔港内装卸易燃、易爆、有毒等危害品的，必须遵守国家关于危化物管理的规定,并事先向驻港渔政渔港监督管理机构提出申请，经批准后在指定的安全地点装卸。</w:t>
      </w:r>
    </w:p>
    <w:p w14:paraId="442DFA17">
      <w:pPr>
        <w:ind w:firstLine="560" w:firstLineChars="200"/>
      </w:pPr>
      <w:r>
        <w:rPr>
          <w:rFonts w:hint="eastAsia"/>
        </w:rPr>
        <w:t>对在本渔港水域内从事加油作业船舶的安全监管﹐应参照国家交通、安全监管部门有关港口危化物安全监督管理的要求，由驻港渔政渔港监督管理机构、国家交通、安全监管等相关部门根据各自职能负责。</w:t>
      </w:r>
    </w:p>
    <w:p w14:paraId="573B5646">
      <w:pPr>
        <w:ind w:firstLine="562" w:firstLineChars="200"/>
      </w:pPr>
      <w:r>
        <w:rPr>
          <w:rFonts w:hint="eastAsia"/>
          <w:b/>
          <w:bCs/>
        </w:rPr>
        <w:t>第二十五条</w:t>
      </w:r>
      <w:r>
        <w:rPr>
          <w:rFonts w:hint="eastAsia"/>
        </w:rPr>
        <w:t xml:space="preserve"> 凡造成影响港区航行安全、停泊安全和有潜在危险的沉没物、漂流物，当事人应立即向渔港管理机构报告，其所有人、经营人应当在限定时间内打捞清除。</w:t>
      </w:r>
    </w:p>
    <w:p w14:paraId="7B20AD8D">
      <w:pPr>
        <w:ind w:firstLine="562" w:firstLineChars="200"/>
      </w:pPr>
      <w:r>
        <w:rPr>
          <w:rFonts w:hint="eastAsia"/>
          <w:b/>
          <w:bCs/>
        </w:rPr>
        <w:t>第二十六条</w:t>
      </w:r>
      <w:r>
        <w:rPr>
          <w:rFonts w:hint="eastAsia"/>
        </w:rPr>
        <w:t xml:space="preserve"> 港内供油作业时，须做好安全和环保防范措施</w:t>
      </w:r>
      <w:r>
        <w:rPr>
          <w:rFonts w:hint="eastAsia"/>
          <w:lang w:eastAsia="zh-CN"/>
        </w:rPr>
        <w:t>，</w:t>
      </w:r>
      <w:r>
        <w:rPr>
          <w:rFonts w:hint="eastAsia"/>
        </w:rPr>
        <w:t>现场安排人员看管，防止跑油、漏油。</w:t>
      </w:r>
    </w:p>
    <w:p w14:paraId="69C52DBA">
      <w:pPr>
        <w:ind w:firstLine="562" w:firstLineChars="200"/>
      </w:pPr>
      <w:r>
        <w:rPr>
          <w:rFonts w:hint="eastAsia"/>
          <w:b/>
          <w:bCs/>
        </w:rPr>
        <w:t>第二十七条</w:t>
      </w:r>
      <w:r>
        <w:rPr>
          <w:rFonts w:hint="eastAsia"/>
        </w:rPr>
        <w:t xml:space="preserve"> 发生事故或者其他突发性事件，造成或者可能造成渔港环境污染事故的单位和个人，须立即采取有效措施，及时向可能受到危害者通报，并向渔业、生态环境行政主管部门报告，依法调查处理。</w:t>
      </w:r>
    </w:p>
    <w:p w14:paraId="2FA602D9">
      <w:pPr>
        <w:ind w:firstLine="562" w:firstLineChars="200"/>
      </w:pPr>
      <w:r>
        <w:rPr>
          <w:rFonts w:hint="eastAsia"/>
          <w:b/>
          <w:bCs/>
        </w:rPr>
        <w:t>第二十八条</w:t>
      </w:r>
      <w:r>
        <w:rPr>
          <w:rFonts w:hint="eastAsia"/>
        </w:rPr>
        <w:t xml:space="preserve"> 船舶须配置相应的防污设备和器材，码头、装卸点和船舶修造厂须按有关规定备有足够的用于处理船舶污染物、废弃物的接收设施，并确保该设施处于良好状态。</w:t>
      </w:r>
    </w:p>
    <w:p w14:paraId="5710D32E">
      <w:pPr>
        <w:ind w:firstLine="562" w:firstLineChars="200"/>
      </w:pPr>
      <w:r>
        <w:rPr>
          <w:rFonts w:hint="eastAsia"/>
          <w:b/>
          <w:bCs/>
        </w:rPr>
        <w:t>第二十九条</w:t>
      </w:r>
      <w:r>
        <w:rPr>
          <w:rFonts w:hint="eastAsia"/>
        </w:rPr>
        <w:t xml:space="preserve"> 在渔港停泊、航行、补给、装卸的渔业船舶，不准携带违禁渔具，应遵守伏休规定，休渔期不得擅自离港。</w:t>
      </w:r>
    </w:p>
    <w:p w14:paraId="08C88397">
      <w:pPr>
        <w:jc w:val="center"/>
        <w:rPr>
          <w:b/>
          <w:bCs/>
          <w:sz w:val="32"/>
          <w:szCs w:val="32"/>
        </w:rPr>
      </w:pPr>
      <w:r>
        <w:rPr>
          <w:rFonts w:hint="eastAsia"/>
          <w:b/>
          <w:bCs/>
          <w:sz w:val="32"/>
          <w:szCs w:val="32"/>
        </w:rPr>
        <w:t>第八章  渔港应急事件处理</w:t>
      </w:r>
    </w:p>
    <w:p w14:paraId="743FD4A5">
      <w:pPr>
        <w:ind w:firstLine="562" w:firstLineChars="200"/>
      </w:pPr>
      <w:r>
        <w:rPr>
          <w:rFonts w:hint="eastAsia"/>
          <w:b/>
          <w:bCs/>
        </w:rPr>
        <w:t xml:space="preserve">第三十条 </w:t>
      </w:r>
      <w:r>
        <w:rPr>
          <w:rFonts w:hint="eastAsia"/>
        </w:rPr>
        <w:t>渔港经营人应当依法制定港口生产安全事故、预防自然灾害等应急预案，保障组织实施，并定期组织演练。</w:t>
      </w:r>
    </w:p>
    <w:p w14:paraId="0BDA9A3E">
      <w:pPr>
        <w:ind w:firstLine="562" w:firstLineChars="200"/>
      </w:pPr>
      <w:r>
        <w:rPr>
          <w:rFonts w:hint="eastAsia"/>
          <w:b/>
          <w:bCs/>
        </w:rPr>
        <w:t xml:space="preserve">第三十一条 </w:t>
      </w:r>
      <w:r>
        <w:rPr>
          <w:rFonts w:hint="eastAsia"/>
        </w:rPr>
        <w:t>渔船在本港水域发生水上安全事故，应当立即向区社管局报告，按照指令在指定地点停泊，接受调查处理。拒不服从指令或者危害水上交通安全的，区社管局有权对其采取强制性处置措施。</w:t>
      </w:r>
    </w:p>
    <w:p w14:paraId="62DC9DD7">
      <w:pPr>
        <w:ind w:firstLine="562" w:firstLineChars="200"/>
      </w:pPr>
      <w:r>
        <w:rPr>
          <w:rFonts w:hint="eastAsia"/>
          <w:b/>
          <w:bCs/>
        </w:rPr>
        <w:t xml:space="preserve">第三十二条 </w:t>
      </w:r>
      <w:r>
        <w:rPr>
          <w:rFonts w:hint="eastAsia"/>
        </w:rPr>
        <w:t>渔船在本港水域发生污染事故，应当立即向区社管局报告，接受调查处理。为减轻污染损害，事故调查机关有权采取清除、打捞、拖航、过驳等必要措施，相关费用由造成渔港水域污染的渔船或者作业单位承担。</w:t>
      </w:r>
    </w:p>
    <w:p w14:paraId="588A7488">
      <w:pPr>
        <w:ind w:firstLine="562" w:firstLineChars="200"/>
      </w:pPr>
      <w:r>
        <w:rPr>
          <w:rFonts w:hint="eastAsia"/>
          <w:b/>
          <w:bCs/>
        </w:rPr>
        <w:t xml:space="preserve">第三十三条 </w:t>
      </w:r>
      <w:r>
        <w:rPr>
          <w:rFonts w:hint="eastAsia"/>
        </w:rPr>
        <w:t>有下列情形之一的，渔港经营人应当立即采取疏港措施，港内船舶、车辆和人员必须配合:</w:t>
      </w:r>
    </w:p>
    <w:p w14:paraId="0D9CEA23">
      <w:pPr>
        <w:ind w:firstLine="560" w:firstLineChars="200"/>
      </w:pPr>
      <w:r>
        <w:rPr>
          <w:rFonts w:hint="eastAsia"/>
        </w:rPr>
        <w:t>（一）遭遇台风、风暴潮等极端恶劣天气，超过本港设计避险能力的；</w:t>
      </w:r>
    </w:p>
    <w:p w14:paraId="1D6C3CA1">
      <w:pPr>
        <w:ind w:firstLine="560" w:firstLineChars="200"/>
      </w:pPr>
      <w:r>
        <w:rPr>
          <w:rFonts w:hint="eastAsia"/>
        </w:rPr>
        <w:t>（二）港区突发重大公共卫生事件的；</w:t>
      </w:r>
    </w:p>
    <w:p w14:paraId="01A89674">
      <w:pPr>
        <w:ind w:firstLine="560" w:firstLineChars="200"/>
      </w:pPr>
      <w:r>
        <w:rPr>
          <w:rFonts w:hint="eastAsia"/>
        </w:rPr>
        <w:t>（三）发生火灾、爆炸事故对港口运营</w:t>
      </w:r>
      <w:r>
        <w:rPr>
          <w:rFonts w:hint="eastAsia"/>
          <w:lang w:eastAsia="zh-CN"/>
        </w:rPr>
        <w:t>产生</w:t>
      </w:r>
      <w:r>
        <w:rPr>
          <w:rFonts w:hint="eastAsia"/>
        </w:rPr>
        <w:t>重大影响的；</w:t>
      </w:r>
    </w:p>
    <w:p w14:paraId="1EE6BBD7">
      <w:pPr>
        <w:ind w:firstLine="560" w:firstLineChars="200"/>
      </w:pPr>
      <w:r>
        <w:rPr>
          <w:rFonts w:hint="eastAsia"/>
        </w:rPr>
        <w:t>（四）其他可能危及港内船舶和人员安全的。</w:t>
      </w:r>
    </w:p>
    <w:p w14:paraId="73A65B39">
      <w:pPr>
        <w:ind w:firstLine="562" w:firstLineChars="200"/>
      </w:pPr>
      <w:r>
        <w:rPr>
          <w:rFonts w:hint="eastAsia"/>
          <w:b/>
          <w:bCs/>
        </w:rPr>
        <w:t xml:space="preserve">第三十四条 </w:t>
      </w:r>
      <w:r>
        <w:rPr>
          <w:rFonts w:hint="eastAsia"/>
        </w:rPr>
        <w:t>大风红色预警，渔港港务管理机构应当采取一切可能的方式通知港内渔船﹐督促渔船所有人或者经营人立即将船上人员全部转移上岸，合理调度渔船停泊避风。对拒不服从政府指令或者港务调度的，及时向区社管局和公安机关报告。</w:t>
      </w:r>
    </w:p>
    <w:p w14:paraId="5B0BBAD3">
      <w:pPr>
        <w:jc w:val="center"/>
        <w:rPr>
          <w:b/>
          <w:bCs/>
          <w:sz w:val="32"/>
          <w:szCs w:val="32"/>
        </w:rPr>
      </w:pPr>
      <w:r>
        <w:rPr>
          <w:rFonts w:hint="eastAsia"/>
          <w:b/>
          <w:bCs/>
          <w:sz w:val="32"/>
          <w:szCs w:val="32"/>
        </w:rPr>
        <w:t>第九章 禁止与限制性规定</w:t>
      </w:r>
    </w:p>
    <w:p w14:paraId="697CCDA0">
      <w:pPr>
        <w:ind w:firstLine="562" w:firstLineChars="200"/>
      </w:pPr>
      <w:r>
        <w:rPr>
          <w:rFonts w:hint="eastAsia"/>
          <w:b/>
          <w:bCs/>
        </w:rPr>
        <w:t>第三十五条</w:t>
      </w:r>
      <w:r>
        <w:rPr>
          <w:rFonts w:hint="eastAsia"/>
        </w:rPr>
        <w:t xml:space="preserve"> 禁止在本渔港内进行船舶试航。禁止在本渔港内码头、栈桥、路面随意堆放货物、器材和晾晒渔网鱼货等。</w:t>
      </w:r>
    </w:p>
    <w:p w14:paraId="510DD09E">
      <w:pPr>
        <w:ind w:firstLine="562" w:firstLineChars="200"/>
      </w:pPr>
      <w:r>
        <w:rPr>
          <w:rFonts w:hint="eastAsia"/>
          <w:b/>
          <w:bCs/>
        </w:rPr>
        <w:t>第三十</w:t>
      </w:r>
      <w:r>
        <w:rPr>
          <w:rFonts w:hint="eastAsia"/>
          <w:b/>
          <w:bCs/>
          <w:lang w:val="en-US" w:eastAsia="zh-CN"/>
        </w:rPr>
        <w:t>六</w:t>
      </w:r>
      <w:r>
        <w:rPr>
          <w:rFonts w:hint="eastAsia"/>
          <w:b/>
          <w:bCs/>
        </w:rPr>
        <w:t>条</w:t>
      </w:r>
      <w:r>
        <w:rPr>
          <w:rFonts w:hint="eastAsia"/>
        </w:rPr>
        <w:t xml:space="preserve"> 禁止在本渔港航道及其附近滩地、岸坡进行不利于航道维护或者有碍航行安全的堆填、挖掘、种植、构筑建筑物等活动。</w:t>
      </w:r>
    </w:p>
    <w:p w14:paraId="026240A1">
      <w:pPr>
        <w:ind w:firstLine="560" w:firstLineChars="200"/>
      </w:pPr>
      <w:r>
        <w:rPr>
          <w:rFonts w:hint="eastAsia"/>
        </w:rPr>
        <w:t>禁止在航道、港池、锚地和停泊区，从事有碍海上交通安全的捕捞、垂钓、养殖等生产活动。</w:t>
      </w:r>
    </w:p>
    <w:p w14:paraId="6B42F939">
      <w:pPr>
        <w:ind w:firstLine="560" w:firstLineChars="200"/>
      </w:pPr>
      <w:r>
        <w:rPr>
          <w:rFonts w:hint="eastAsia"/>
        </w:rPr>
        <w:t>禁止船舶在水下电缆、管线、海底设施等规定范围内抛锚和停泊。</w:t>
      </w:r>
    </w:p>
    <w:p w14:paraId="795174D3">
      <w:pPr>
        <w:ind w:firstLine="560" w:firstLineChars="200"/>
      </w:pPr>
      <w:r>
        <w:rPr>
          <w:rFonts w:hint="eastAsia"/>
        </w:rPr>
        <w:t>禁止船舶在水上水下施工作业范围附近水域追越或者在单线航段会船、追越。</w:t>
      </w:r>
    </w:p>
    <w:p w14:paraId="7F47FBAC">
      <w:pPr>
        <w:ind w:firstLine="560" w:firstLineChars="200"/>
      </w:pPr>
      <w:r>
        <w:rPr>
          <w:rFonts w:hint="eastAsia"/>
        </w:rPr>
        <w:t>禁止一切危害电缆、管道或隧道安全和助航标志工作效能的行为。</w:t>
      </w:r>
    </w:p>
    <w:p w14:paraId="738C71A2">
      <w:pPr>
        <w:ind w:firstLine="562" w:firstLineChars="200"/>
      </w:pPr>
      <w:r>
        <w:rPr>
          <w:rFonts w:hint="eastAsia"/>
          <w:b/>
          <w:bCs/>
        </w:rPr>
        <w:t>第三十</w:t>
      </w:r>
      <w:r>
        <w:rPr>
          <w:rFonts w:hint="eastAsia"/>
          <w:b/>
          <w:bCs/>
          <w:lang w:val="en-US" w:eastAsia="zh-CN"/>
        </w:rPr>
        <w:t>七</w:t>
      </w:r>
      <w:r>
        <w:rPr>
          <w:rFonts w:hint="eastAsia"/>
          <w:b/>
          <w:bCs/>
        </w:rPr>
        <w:t xml:space="preserve">条 </w:t>
      </w:r>
      <w:r>
        <w:rPr>
          <w:rFonts w:hint="eastAsia"/>
        </w:rPr>
        <w:t>进入本渔港的船舶有下列情况之一者，在未经处理、纠正或者改善前，驻港渔政渔港监督管理机构有权禁止其离港，或令其停航、改航。</w:t>
      </w:r>
    </w:p>
    <w:p w14:paraId="2D89D88D">
      <w:pPr>
        <w:ind w:firstLine="560" w:firstLineChars="200"/>
      </w:pPr>
      <w:r>
        <w:rPr>
          <w:rFonts w:hint="eastAsia"/>
        </w:rPr>
        <w:t>（一）违反中华人民共和国有关法律、行政法规或规章；</w:t>
      </w:r>
    </w:p>
    <w:p w14:paraId="5E0D9E2A">
      <w:pPr>
        <w:ind w:firstLine="560" w:firstLineChars="200"/>
      </w:pPr>
      <w:r>
        <w:rPr>
          <w:rFonts w:hint="eastAsia"/>
        </w:rPr>
        <w:t>（二）船舶处于不适航或不适拖状态；</w:t>
      </w:r>
    </w:p>
    <w:p w14:paraId="35FC74A1">
      <w:pPr>
        <w:ind w:firstLine="560" w:firstLineChars="200"/>
      </w:pPr>
      <w:r>
        <w:rPr>
          <w:rFonts w:hint="eastAsia"/>
        </w:rPr>
        <w:t>（三）发生安全及交通事故，手续未清；</w:t>
      </w:r>
    </w:p>
    <w:p w14:paraId="336E5CF8">
      <w:pPr>
        <w:ind w:firstLine="560" w:firstLineChars="200"/>
      </w:pPr>
      <w:r>
        <w:rPr>
          <w:rFonts w:hint="eastAsia"/>
        </w:rPr>
        <w:t>（四）船舶超载（包括超重、超高、超宽等违章装载）或违章搭客；</w:t>
      </w:r>
    </w:p>
    <w:p w14:paraId="627724E6">
      <w:pPr>
        <w:ind w:firstLine="560" w:firstLineChars="200"/>
      </w:pPr>
      <w:r>
        <w:rPr>
          <w:rFonts w:hint="eastAsia"/>
        </w:rPr>
        <w:t>（五）遇有恶劣天气，影响航行安全；</w:t>
      </w:r>
    </w:p>
    <w:p w14:paraId="3DBA1B97">
      <w:pPr>
        <w:ind w:firstLine="560" w:firstLineChars="200"/>
      </w:pPr>
      <w:r>
        <w:rPr>
          <w:rFonts w:hint="eastAsia"/>
        </w:rPr>
        <w:t>（六）未向驻港渔政渔港监督管理机构或有关部门交付应承担的费用，也未提供适当的担保；</w:t>
      </w:r>
    </w:p>
    <w:p w14:paraId="6E839620">
      <w:pPr>
        <w:ind w:firstLine="560" w:firstLineChars="200"/>
      </w:pPr>
      <w:r>
        <w:rPr>
          <w:rFonts w:hint="eastAsia"/>
        </w:rPr>
        <w:t>（七）驻港渔政渔港监督管理机构认为有其他妨害或者可能妨害海上交通安全的情况；</w:t>
      </w:r>
    </w:p>
    <w:p w14:paraId="08997B09">
      <w:pPr>
        <w:ind w:firstLine="560" w:firstLineChars="200"/>
      </w:pPr>
      <w:r>
        <w:rPr>
          <w:rFonts w:hint="eastAsia"/>
        </w:rPr>
        <w:t>（八）其他需要禁止航行的有关情况。</w:t>
      </w:r>
    </w:p>
    <w:p w14:paraId="5BDE3468">
      <w:pPr>
        <w:ind w:firstLine="562" w:firstLineChars="200"/>
      </w:pPr>
      <w:r>
        <w:rPr>
          <w:rFonts w:hint="eastAsia"/>
          <w:b/>
          <w:bCs/>
        </w:rPr>
        <w:t>第</w:t>
      </w:r>
      <w:r>
        <w:rPr>
          <w:rFonts w:hint="eastAsia"/>
          <w:b/>
          <w:bCs/>
          <w:lang w:val="en-US" w:eastAsia="zh-CN"/>
        </w:rPr>
        <w:t>三十八</w:t>
      </w:r>
      <w:r>
        <w:rPr>
          <w:rFonts w:hint="eastAsia"/>
          <w:b/>
          <w:bCs/>
        </w:rPr>
        <w:t>条</w:t>
      </w:r>
      <w:r>
        <w:rPr>
          <w:rFonts w:hint="eastAsia"/>
        </w:rPr>
        <w:t xml:space="preserve"> 禁止在本渔港码头装卸、储存国家禁止通过水路运输的危化物。</w:t>
      </w:r>
    </w:p>
    <w:p w14:paraId="0BDA2980">
      <w:pPr>
        <w:ind w:firstLine="562" w:firstLineChars="200"/>
      </w:pPr>
      <w:r>
        <w:rPr>
          <w:rFonts w:hint="eastAsia"/>
          <w:b/>
          <w:bCs/>
        </w:rPr>
        <w:t>第</w:t>
      </w:r>
      <w:r>
        <w:rPr>
          <w:rFonts w:hint="eastAsia"/>
          <w:b/>
          <w:bCs/>
          <w:lang w:val="en-US" w:eastAsia="zh-CN"/>
        </w:rPr>
        <w:t>三十九</w:t>
      </w:r>
      <w:r>
        <w:rPr>
          <w:rFonts w:hint="eastAsia"/>
          <w:b/>
          <w:bCs/>
        </w:rPr>
        <w:t>条</w:t>
      </w:r>
      <w:r>
        <w:rPr>
          <w:rFonts w:hint="eastAsia"/>
        </w:rPr>
        <w:t xml:space="preserve"> 禁止任何船舶或设施向本渔港水域排放残油、废油、油性混合物、废酸、废碱、货物残渣、船舶垃圾、建筑泥浆和其他超标有毒、有害物质。</w:t>
      </w:r>
    </w:p>
    <w:p w14:paraId="1CDCB92D">
      <w:pPr>
        <w:ind w:firstLine="560" w:firstLineChars="200"/>
      </w:pPr>
      <w:r>
        <w:rPr>
          <w:rFonts w:hint="eastAsia"/>
        </w:rPr>
        <w:t>对港区和水域造成污染、损害渔业资源、阻滞水流等责任者，要赔偿经济损失，承担清除费用。构成犯罪的，应依法追究其刑事责任。</w:t>
      </w:r>
    </w:p>
    <w:p w14:paraId="37B98673">
      <w:pPr>
        <w:jc w:val="center"/>
        <w:rPr>
          <w:b/>
          <w:bCs/>
          <w:sz w:val="32"/>
          <w:szCs w:val="32"/>
        </w:rPr>
      </w:pPr>
      <w:r>
        <w:rPr>
          <w:rFonts w:hint="eastAsia"/>
          <w:b/>
          <w:bCs/>
          <w:sz w:val="32"/>
          <w:szCs w:val="32"/>
        </w:rPr>
        <w:t xml:space="preserve">第十章 </w:t>
      </w:r>
      <w:r>
        <w:rPr>
          <w:b/>
          <w:bCs/>
          <w:sz w:val="32"/>
          <w:szCs w:val="32"/>
        </w:rPr>
        <w:t xml:space="preserve"> </w:t>
      </w:r>
      <w:r>
        <w:rPr>
          <w:rFonts w:hint="eastAsia"/>
          <w:b/>
          <w:bCs/>
          <w:sz w:val="32"/>
          <w:szCs w:val="32"/>
        </w:rPr>
        <w:t>附则</w:t>
      </w:r>
    </w:p>
    <w:p w14:paraId="6BFC5A71">
      <w:pPr>
        <w:ind w:firstLine="562" w:firstLineChars="200"/>
      </w:pPr>
      <w:r>
        <w:rPr>
          <w:rFonts w:hint="eastAsia"/>
          <w:b/>
          <w:bCs/>
        </w:rPr>
        <w:t>第四十条</w:t>
      </w:r>
      <w:r>
        <w:rPr>
          <w:rFonts w:hint="eastAsia"/>
        </w:rPr>
        <w:t xml:space="preserve"> 本港章未作规定事项，按国家和省市有关法律、行政法规或 文件执行。</w:t>
      </w:r>
    </w:p>
    <w:p w14:paraId="45826852">
      <w:pPr>
        <w:ind w:firstLine="562" w:firstLineChars="200"/>
        <w:rPr>
          <w:color w:val="000000" w:themeColor="text1"/>
          <w14:textFill>
            <w14:solidFill>
              <w14:schemeClr w14:val="tx1"/>
            </w14:solidFill>
          </w14:textFill>
        </w:rPr>
      </w:pPr>
      <w:r>
        <w:rPr>
          <w:rFonts w:hint="eastAsia"/>
          <w:b/>
          <w:bCs/>
        </w:rPr>
        <w:t>第四十</w:t>
      </w:r>
      <w:r>
        <w:rPr>
          <w:rFonts w:hint="eastAsia"/>
          <w:b/>
          <w:bCs/>
          <w:lang w:val="en-US" w:eastAsia="zh-CN"/>
        </w:rPr>
        <w:t>一</w:t>
      </w:r>
      <w:r>
        <w:rPr>
          <w:rFonts w:hint="eastAsia"/>
          <w:b/>
          <w:bCs/>
        </w:rPr>
        <w:t>条</w:t>
      </w:r>
      <w:r>
        <w:rPr>
          <w:rFonts w:hint="eastAsia"/>
        </w:rPr>
        <w:t xml:space="preserve"> </w:t>
      </w:r>
      <w:r>
        <w:t xml:space="preserve"> </w:t>
      </w:r>
      <w:r>
        <w:rPr>
          <w:rFonts w:hint="eastAsia"/>
        </w:rPr>
        <w:t>本港章由</w:t>
      </w:r>
      <w:r>
        <w:rPr>
          <w:rFonts w:hint="eastAsia"/>
          <w:color w:val="000000" w:themeColor="text1"/>
          <w14:textFill>
            <w14:solidFill>
              <w14:schemeClr w14:val="tx1"/>
            </w14:solidFill>
          </w14:textFill>
        </w:rPr>
        <w:t>大连高新技术产业园区管理委员会负责解释。</w:t>
      </w:r>
    </w:p>
    <w:p w14:paraId="7D677FFC">
      <w:pPr>
        <w:ind w:firstLine="562" w:firstLineChars="200"/>
      </w:pPr>
      <w:r>
        <w:rPr>
          <w:rFonts w:hint="eastAsia"/>
          <w:b/>
          <w:bCs/>
          <w:color w:val="000000" w:themeColor="text1"/>
          <w14:textFill>
            <w14:solidFill>
              <w14:schemeClr w14:val="tx1"/>
            </w14:solidFill>
          </w14:textFill>
        </w:rPr>
        <w:t>第</w:t>
      </w:r>
      <w:r>
        <w:rPr>
          <w:rFonts w:hint="eastAsia"/>
          <w:b/>
          <w:bCs/>
        </w:rPr>
        <w:t>四十</w:t>
      </w:r>
      <w:r>
        <w:rPr>
          <w:rFonts w:hint="eastAsia"/>
          <w:b/>
          <w:bCs/>
          <w:lang w:val="en-US" w:eastAsia="zh-CN"/>
        </w:rPr>
        <w:t>二</w:t>
      </w:r>
      <w:r>
        <w:rPr>
          <w:rFonts w:hint="eastAsia"/>
          <w:b/>
          <w:bCs/>
          <w:color w:val="000000" w:themeColor="text1"/>
          <w14:textFill>
            <w14:solidFill>
              <w14:schemeClr w14:val="tx1"/>
            </w14:solidFill>
          </w14:textFill>
        </w:rPr>
        <w:t>条</w:t>
      </w:r>
      <w:r>
        <w:rPr>
          <w:rFonts w:hint="eastAsia"/>
          <w:color w:val="000000" w:themeColor="text1"/>
          <w14:textFill>
            <w14:solidFill>
              <w14:schemeClr w14:val="tx1"/>
            </w14:solidFill>
          </w14:textFill>
        </w:rPr>
        <w:t xml:space="preserve"> 本港章自颁布之日起</w:t>
      </w:r>
      <w:r>
        <w:rPr>
          <w:color w:val="000000" w:themeColor="text1"/>
          <w14:textFill>
            <w14:solidFill>
              <w14:schemeClr w14:val="tx1"/>
            </w14:solidFill>
          </w14:textFill>
        </w:rPr>
        <w:t>30日后</w:t>
      </w:r>
      <w:r>
        <w:rPr>
          <w:rFonts w:hint="eastAsia"/>
          <w:color w:val="000000" w:themeColor="text1"/>
          <w14:textFill>
            <w14:solidFill>
              <w14:schemeClr w14:val="tx1"/>
            </w14:solidFill>
          </w14:textFill>
        </w:rPr>
        <w:t>施行。</w:t>
      </w:r>
      <w:r>
        <w:rPr>
          <w:rFonts w:hint="eastAsia"/>
        </w:rPr>
        <w:t>《</w:t>
      </w:r>
      <w:r>
        <w:t>关于印发</w:t>
      </w:r>
      <w:r>
        <w:rPr>
          <w:rFonts w:hint="eastAsia"/>
        </w:rPr>
        <w:t>〈</w:t>
      </w:r>
      <w:r>
        <w:t>大连高新技术产业园区龙王塘渔港港章</w:t>
      </w:r>
      <w:r>
        <w:rPr>
          <w:rFonts w:hint="eastAsia"/>
        </w:rPr>
        <w:t>〉</w:t>
      </w:r>
      <w:r>
        <w:t>的通知》（大高管发</w:t>
      </w:r>
      <w:r>
        <w:rPr>
          <w:rFonts w:hint="eastAsia" w:ascii="仿宋_GB2312" w:hAnsi="仿宋_GB2312" w:eastAsia="仿宋_GB2312" w:cs="仿宋_GB2312"/>
        </w:rPr>
        <w:t>〔</w:t>
      </w:r>
      <w:r>
        <w:t>2010</w:t>
      </w:r>
      <w:r>
        <w:rPr>
          <w:rFonts w:hint="eastAsia" w:ascii="仿宋_GB2312" w:hAnsi="仿宋_GB2312" w:eastAsia="仿宋_GB2312" w:cs="仿宋_GB2312"/>
        </w:rPr>
        <w:t>〕</w:t>
      </w:r>
      <w:r>
        <w:t>57号）</w:t>
      </w:r>
      <w:r>
        <w:rPr>
          <w:rFonts w:hint="eastAsia"/>
        </w:rPr>
        <w:t>同时废止。</w:t>
      </w:r>
    </w:p>
    <w:p w14:paraId="76A7E715">
      <w:pPr>
        <w:ind w:firstLine="560" w:firstLineChars="200"/>
      </w:pPr>
    </w:p>
    <w:p w14:paraId="3684F994">
      <w:pPr>
        <w:ind w:firstLine="560" w:firstLineChars="200"/>
        <w:rPr>
          <w:rFonts w:hint="eastAsia"/>
        </w:rPr>
      </w:pPr>
    </w:p>
    <w:p w14:paraId="56BA320D">
      <w:pPr>
        <w:ind w:firstLine="560" w:firstLineChars="200"/>
      </w:pPr>
    </w:p>
    <w:p w14:paraId="0C98B5A5">
      <w:pPr>
        <w:ind w:firstLine="560" w:firstLineChars="200"/>
        <w:jc w:val="center"/>
      </w:pPr>
      <w:r>
        <w:t xml:space="preserve">       </w:t>
      </w:r>
      <w:r>
        <w:rPr>
          <w:rFonts w:hint="eastAsia"/>
        </w:rPr>
        <w:t xml:space="preserve">   </w:t>
      </w:r>
      <w:r>
        <w:t xml:space="preserve">  </w:t>
      </w: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等线">
    <w:altName w:val="华文仿宋"/>
    <w:panose1 w:val="00000000000000000000"/>
    <w:charset w:val="86"/>
    <w:family w:val="auto"/>
    <w:pitch w:val="default"/>
    <w:sig w:usb0="00000000" w:usb1="00000000" w:usb2="00000000" w:usb3="00000000" w:csb0="00000000" w:csb1="00000000"/>
  </w:font>
  <w:font w:name="等线">
    <w:altName w:val="C059"/>
    <w:panose1 w:val="00000000000000000000"/>
    <w:charset w:val="00"/>
    <w:family w:val="auto"/>
    <w:pitch w:val="default"/>
    <w:sig w:usb0="00000000" w:usb1="00000000" w:usb2="00000000" w:usb3="00000000" w:csb0="00000000" w:csb1="00000000"/>
  </w:font>
  <w:font w:name="方正小标宋简体">
    <w:panose1 w:val="02000000000000000000"/>
    <w:charset w:val="86"/>
    <w:family w:val="auto"/>
    <w:pitch w:val="default"/>
    <w:sig w:usb0="A00002BF" w:usb1="184F6CFA" w:usb2="00000012" w:usb3="00000000" w:csb0="00040001" w:csb1="00000000"/>
  </w:font>
  <w:font w:name="CESI楷体-GB2312">
    <w:panose1 w:val="02000500000000000000"/>
    <w:charset w:val="86"/>
    <w:family w:val="auto"/>
    <w:pitch w:val="default"/>
    <w:sig w:usb0="800002BF" w:usb1="184F6CF8" w:usb2="00000012" w:usb3="00000000" w:csb0="0004000F"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C059">
    <w:panose1 w:val="00000500000000000000"/>
    <w:charset w:val="00"/>
    <w:family w:val="auto"/>
    <w:pitch w:val="default"/>
    <w:sig w:usb0="00000287" w:usb1="00000800" w:usb2="00000000" w:usb3="00000000" w:csb0="6000009F"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D0B73">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E5168A">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1E5168A">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NjNmQ2ZTI2Y2NiOGZiZGIwNDEwMWIxYWFiZDE2MDAifQ=="/>
  </w:docVars>
  <w:rsids>
    <w:rsidRoot w:val="00477FF9"/>
    <w:rsid w:val="00020EB3"/>
    <w:rsid w:val="00037031"/>
    <w:rsid w:val="000B23E7"/>
    <w:rsid w:val="000E06A8"/>
    <w:rsid w:val="000E34CB"/>
    <w:rsid w:val="00105AD5"/>
    <w:rsid w:val="001070B8"/>
    <w:rsid w:val="001604DD"/>
    <w:rsid w:val="0016330E"/>
    <w:rsid w:val="00186597"/>
    <w:rsid w:val="001A10CE"/>
    <w:rsid w:val="001A6D2A"/>
    <w:rsid w:val="001E6809"/>
    <w:rsid w:val="001F228F"/>
    <w:rsid w:val="00256C37"/>
    <w:rsid w:val="002B7011"/>
    <w:rsid w:val="002E335B"/>
    <w:rsid w:val="002F4D7C"/>
    <w:rsid w:val="00321054"/>
    <w:rsid w:val="00360D5D"/>
    <w:rsid w:val="00367DE9"/>
    <w:rsid w:val="00396A1B"/>
    <w:rsid w:val="003A6427"/>
    <w:rsid w:val="004721C2"/>
    <w:rsid w:val="00477FF9"/>
    <w:rsid w:val="00495BCA"/>
    <w:rsid w:val="00585A3E"/>
    <w:rsid w:val="005A1615"/>
    <w:rsid w:val="005D6BEE"/>
    <w:rsid w:val="005E1C67"/>
    <w:rsid w:val="005E380F"/>
    <w:rsid w:val="00617B96"/>
    <w:rsid w:val="00651D7C"/>
    <w:rsid w:val="00665495"/>
    <w:rsid w:val="006D09DB"/>
    <w:rsid w:val="006F279F"/>
    <w:rsid w:val="00714C88"/>
    <w:rsid w:val="007A3454"/>
    <w:rsid w:val="007A36B3"/>
    <w:rsid w:val="007B10EE"/>
    <w:rsid w:val="007F0614"/>
    <w:rsid w:val="00821582"/>
    <w:rsid w:val="00863534"/>
    <w:rsid w:val="00896AD9"/>
    <w:rsid w:val="008973C9"/>
    <w:rsid w:val="00897C43"/>
    <w:rsid w:val="008D2C32"/>
    <w:rsid w:val="009366DE"/>
    <w:rsid w:val="00951ECF"/>
    <w:rsid w:val="009548D5"/>
    <w:rsid w:val="009C2770"/>
    <w:rsid w:val="009F54C7"/>
    <w:rsid w:val="00A109CD"/>
    <w:rsid w:val="00A526E8"/>
    <w:rsid w:val="00A640F4"/>
    <w:rsid w:val="00A66D27"/>
    <w:rsid w:val="00A73B61"/>
    <w:rsid w:val="00A82159"/>
    <w:rsid w:val="00AC416D"/>
    <w:rsid w:val="00AF2C87"/>
    <w:rsid w:val="00B81710"/>
    <w:rsid w:val="00BC2A67"/>
    <w:rsid w:val="00BC708A"/>
    <w:rsid w:val="00BC7C73"/>
    <w:rsid w:val="00BD0A69"/>
    <w:rsid w:val="00C213A2"/>
    <w:rsid w:val="00C3033D"/>
    <w:rsid w:val="00C35A82"/>
    <w:rsid w:val="00CA1F9F"/>
    <w:rsid w:val="00CE606A"/>
    <w:rsid w:val="00D457F3"/>
    <w:rsid w:val="00D61699"/>
    <w:rsid w:val="00D744F2"/>
    <w:rsid w:val="00D942C0"/>
    <w:rsid w:val="00E553FC"/>
    <w:rsid w:val="00E77950"/>
    <w:rsid w:val="00E839B0"/>
    <w:rsid w:val="00ED284C"/>
    <w:rsid w:val="00F01585"/>
    <w:rsid w:val="00FB08C6"/>
    <w:rsid w:val="08FF420A"/>
    <w:rsid w:val="09EC711E"/>
    <w:rsid w:val="1C2D363E"/>
    <w:rsid w:val="21DB0639"/>
    <w:rsid w:val="428D7651"/>
    <w:rsid w:val="4EDB43FE"/>
    <w:rsid w:val="6BC139A1"/>
    <w:rsid w:val="6C734946"/>
    <w:rsid w:val="78A58CE2"/>
    <w:rsid w:val="7B3A18B3"/>
    <w:rsid w:val="7F421108"/>
    <w:rsid w:val="9CAFE6D5"/>
    <w:rsid w:val="AEF11B35"/>
    <w:rsid w:val="AFFF8DD0"/>
    <w:rsid w:val="BDF737C3"/>
    <w:rsid w:val="BDF9A7FF"/>
    <w:rsid w:val="D7BDF5E8"/>
    <w:rsid w:val="E3F79F68"/>
    <w:rsid w:val="E99FDF16"/>
    <w:rsid w:val="EFFF3DDE"/>
    <w:rsid w:val="FEFEEBFA"/>
    <w:rsid w:val="FFDA0E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jc w:val="both"/>
    </w:pPr>
    <w:rPr>
      <w:rFonts w:ascii="Times New Roman" w:hAnsi="Times New Roman" w:eastAsia="宋体" w:cstheme="minorBidi"/>
      <w:kern w:val="2"/>
      <w:sz w:val="28"/>
      <w:szCs w:val="22"/>
      <w:lang w:val="en-US" w:eastAsia="zh-CN" w:bidi="ar-SA"/>
    </w:rPr>
  </w:style>
  <w:style w:type="paragraph" w:styleId="2">
    <w:name w:val="heading 1"/>
    <w:basedOn w:val="1"/>
    <w:next w:val="1"/>
    <w:link w:val="10"/>
    <w:qFormat/>
    <w:uiPriority w:val="9"/>
    <w:pPr>
      <w:keepNext/>
      <w:keepLines/>
      <w:spacing w:before="340" w:after="330" w:line="578" w:lineRule="auto"/>
      <w:outlineLvl w:val="0"/>
    </w:pPr>
    <w:rPr>
      <w:b/>
      <w:bCs/>
      <w:kern w:val="44"/>
      <w:sz w:val="44"/>
      <w:szCs w:val="44"/>
    </w:rPr>
  </w:style>
  <w:style w:type="character" w:default="1" w:styleId="6">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unhideWhenUsed/>
    <w:qFormat/>
    <w:uiPriority w:val="99"/>
    <w:pPr>
      <w:tabs>
        <w:tab w:val="center" w:pos="4153"/>
        <w:tab w:val="right" w:pos="8306"/>
      </w:tabs>
      <w:jc w:val="left"/>
    </w:pPr>
    <w:rPr>
      <w:sz w:val="18"/>
      <w:szCs w:val="18"/>
    </w:rPr>
  </w:style>
  <w:style w:type="paragraph" w:styleId="4">
    <w:name w:val="header"/>
    <w:basedOn w:val="1"/>
    <w:link w:val="7"/>
    <w:unhideWhenUsed/>
    <w:qFormat/>
    <w:uiPriority w:val="99"/>
    <w:pPr>
      <w:tabs>
        <w:tab w:val="center" w:pos="4153"/>
        <w:tab w:val="right" w:pos="8306"/>
      </w:tabs>
      <w:jc w:val="center"/>
    </w:pPr>
    <w:rPr>
      <w:sz w:val="18"/>
      <w:szCs w:val="18"/>
    </w:rPr>
  </w:style>
  <w:style w:type="character" w:customStyle="1" w:styleId="7">
    <w:name w:val="页眉 字符"/>
    <w:basedOn w:val="6"/>
    <w:link w:val="4"/>
    <w:qFormat/>
    <w:uiPriority w:val="99"/>
    <w:rPr>
      <w:sz w:val="18"/>
      <w:szCs w:val="18"/>
    </w:rPr>
  </w:style>
  <w:style w:type="character" w:customStyle="1" w:styleId="8">
    <w:name w:val="页脚 字符"/>
    <w:basedOn w:val="6"/>
    <w:link w:val="3"/>
    <w:qFormat/>
    <w:uiPriority w:val="99"/>
    <w:rPr>
      <w:sz w:val="18"/>
      <w:szCs w:val="18"/>
    </w:rPr>
  </w:style>
  <w:style w:type="paragraph" w:styleId="9">
    <w:name w:val="List Paragraph"/>
    <w:basedOn w:val="1"/>
    <w:qFormat/>
    <w:uiPriority w:val="34"/>
    <w:pPr>
      <w:ind w:firstLine="420" w:firstLineChars="200"/>
    </w:pPr>
  </w:style>
  <w:style w:type="character" w:customStyle="1" w:styleId="10">
    <w:name w:val="标题 1 字符"/>
    <w:basedOn w:val="6"/>
    <w:link w:val="2"/>
    <w:qFormat/>
    <w:uiPriority w:val="9"/>
    <w:rPr>
      <w:rFonts w:ascii="Times New Roman" w:hAnsi="Times New Roman" w:eastAsia="宋体"/>
      <w:b/>
      <w:bCs/>
      <w:kern w:val="44"/>
      <w:sz w:val="44"/>
      <w:szCs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4330</Words>
  <Characters>4374</Characters>
  <Lines>32</Lines>
  <Paragraphs>9</Paragraphs>
  <TotalTime>169</TotalTime>
  <ScaleCrop>false</ScaleCrop>
  <LinksUpToDate>false</LinksUpToDate>
  <CharactersWithSpaces>4463</CharactersWithSpaces>
  <Application>WPS Office_12.1.2.23582_F1E327BC-269C-435d-A152-05C5408002CA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2025-01-21T06:20:00Z</dcterms:created>
  <dc:creator>丁 陈</dc:creator>
  <cp:lastModifiedBy>kylin</cp:lastModifiedBy>
  <cp:lastPrinted>2026-09-22T05:57:00Z</cp:lastPrinted>
  <dcterms:modified xsi:type="dcterms:W3CDTF">2026-09-29T16:18:09Z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2052-12.1.2.23582</vt:lpwstr>
  </property>
  <property fmtid="{D5CDD505-2E9C-101B-9397-08002B2CF9AE}" pid="3" name="ICV">
    <vt:lpwstr>F4A81DC52DC24E069C7E6D1A11125658_12</vt:lpwstr>
  </property>
  <property fmtid="{D5CDD505-2E9C-101B-9397-08002B2CF9AE}" pid="4" name="KSOTemplateDocerSaveRecord">
    <vt:lpwstr>eyJoZGlkIjoiODRhZjM1MjU3NjQ2YzFjYzI2M2YwMjExODIxZTIzYTMiLCJ1c2VySWQiOiIzMDg1NjM0MDkifQ==</vt:lpwstr>
  </property>
</Properties>
</file>