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黑体" w:hAnsi="黑体" w:eastAsia="黑体"/>
          <w:sz w:val="28"/>
          <w:szCs w:val="28"/>
        </w:rPr>
      </w:pPr>
      <w:r>
        <w:rPr>
          <w:rFonts w:ascii="黑体" w:hAnsi="黑体" w:eastAsia="黑体"/>
          <w:sz w:val="28"/>
          <w:szCs w:val="28"/>
        </w:rPr>
        <w:t>公共资源交易领域基层政务公开标准目录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106"/>
        <w:gridCol w:w="1155"/>
        <w:gridCol w:w="2910"/>
        <w:gridCol w:w="2595"/>
        <w:gridCol w:w="1150"/>
        <w:gridCol w:w="1730"/>
        <w:gridCol w:w="2912"/>
        <w:gridCol w:w="555"/>
        <w:gridCol w:w="512"/>
        <w:gridCol w:w="392"/>
        <w:gridCol w:w="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42" w:type="dxa"/>
            <w:vMerge w:val="restart"/>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序号</w:t>
            </w:r>
          </w:p>
        </w:tc>
        <w:tc>
          <w:tcPr>
            <w:tcW w:w="2261" w:type="dxa"/>
            <w:gridSpan w:val="2"/>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公开事项</w:t>
            </w:r>
          </w:p>
        </w:tc>
        <w:tc>
          <w:tcPr>
            <w:tcW w:w="2910" w:type="dxa"/>
            <w:vMerge w:val="restart"/>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公开内容</w:t>
            </w:r>
          </w:p>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w:t>
            </w:r>
            <w:r>
              <w:rPr>
                <w:rFonts w:hint="eastAsia" w:cs="宋体" w:asciiTheme="minorEastAsia" w:hAnsiTheme="minorEastAsia" w:eastAsiaTheme="minorEastAsia"/>
                <w:b/>
                <w:spacing w:val="1"/>
                <w:sz w:val="18"/>
                <w:szCs w:val="18"/>
              </w:rPr>
              <w:t>要素</w:t>
            </w:r>
            <w:r>
              <w:rPr>
                <w:rFonts w:hint="eastAsia" w:cs="宋体" w:asciiTheme="minorEastAsia" w:hAnsiTheme="minorEastAsia" w:eastAsiaTheme="minorEastAsia"/>
                <w:b/>
                <w:sz w:val="18"/>
                <w:szCs w:val="18"/>
              </w:rPr>
              <w:t>）</w:t>
            </w:r>
          </w:p>
        </w:tc>
        <w:tc>
          <w:tcPr>
            <w:tcW w:w="2595" w:type="dxa"/>
            <w:vMerge w:val="restart"/>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公开依据</w:t>
            </w:r>
          </w:p>
        </w:tc>
        <w:tc>
          <w:tcPr>
            <w:tcW w:w="1150" w:type="dxa"/>
            <w:vMerge w:val="restart"/>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公开时限</w:t>
            </w:r>
          </w:p>
        </w:tc>
        <w:tc>
          <w:tcPr>
            <w:tcW w:w="1730" w:type="dxa"/>
            <w:vMerge w:val="restart"/>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公开主体</w:t>
            </w:r>
          </w:p>
        </w:tc>
        <w:tc>
          <w:tcPr>
            <w:tcW w:w="2912" w:type="dxa"/>
            <w:vMerge w:val="restart"/>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公开渠道和载体</w:t>
            </w:r>
          </w:p>
        </w:tc>
        <w:tc>
          <w:tcPr>
            <w:tcW w:w="1067" w:type="dxa"/>
            <w:gridSpan w:val="2"/>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公开对象</w:t>
            </w:r>
          </w:p>
        </w:tc>
        <w:tc>
          <w:tcPr>
            <w:tcW w:w="753" w:type="dxa"/>
            <w:gridSpan w:val="2"/>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442" w:type="dxa"/>
            <w:vMerge w:val="continue"/>
            <w:vAlign w:val="center"/>
          </w:tcPr>
          <w:p>
            <w:pPr>
              <w:pStyle w:val="13"/>
              <w:jc w:val="center"/>
              <w:rPr>
                <w:rFonts w:asciiTheme="minorEastAsia" w:hAnsiTheme="minorEastAsia" w:eastAsiaTheme="minorEastAsia"/>
                <w:b/>
                <w:sz w:val="18"/>
                <w:szCs w:val="18"/>
              </w:rPr>
            </w:pPr>
          </w:p>
        </w:tc>
        <w:tc>
          <w:tcPr>
            <w:tcW w:w="1106" w:type="dxa"/>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一级事项</w:t>
            </w:r>
          </w:p>
        </w:tc>
        <w:tc>
          <w:tcPr>
            <w:tcW w:w="1155" w:type="dxa"/>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二级事项</w:t>
            </w:r>
          </w:p>
        </w:tc>
        <w:tc>
          <w:tcPr>
            <w:tcW w:w="2910" w:type="dxa"/>
            <w:vMerge w:val="continue"/>
            <w:vAlign w:val="center"/>
          </w:tcPr>
          <w:p>
            <w:pPr>
              <w:pStyle w:val="13"/>
              <w:jc w:val="center"/>
              <w:rPr>
                <w:rFonts w:asciiTheme="minorEastAsia" w:hAnsiTheme="minorEastAsia" w:eastAsiaTheme="minorEastAsia"/>
                <w:b/>
                <w:sz w:val="18"/>
                <w:szCs w:val="18"/>
              </w:rPr>
            </w:pPr>
          </w:p>
        </w:tc>
        <w:tc>
          <w:tcPr>
            <w:tcW w:w="2595" w:type="dxa"/>
            <w:vMerge w:val="continue"/>
            <w:vAlign w:val="center"/>
          </w:tcPr>
          <w:p>
            <w:pPr>
              <w:pStyle w:val="13"/>
              <w:jc w:val="center"/>
              <w:rPr>
                <w:rFonts w:asciiTheme="minorEastAsia" w:hAnsiTheme="minorEastAsia" w:eastAsiaTheme="minorEastAsia"/>
                <w:b/>
                <w:sz w:val="18"/>
                <w:szCs w:val="18"/>
              </w:rPr>
            </w:pPr>
          </w:p>
        </w:tc>
        <w:tc>
          <w:tcPr>
            <w:tcW w:w="1150" w:type="dxa"/>
            <w:vMerge w:val="continue"/>
            <w:vAlign w:val="center"/>
          </w:tcPr>
          <w:p>
            <w:pPr>
              <w:pStyle w:val="13"/>
              <w:jc w:val="center"/>
              <w:rPr>
                <w:rFonts w:asciiTheme="minorEastAsia" w:hAnsiTheme="minorEastAsia" w:eastAsiaTheme="minorEastAsia"/>
                <w:b/>
                <w:sz w:val="18"/>
                <w:szCs w:val="18"/>
              </w:rPr>
            </w:pPr>
          </w:p>
        </w:tc>
        <w:tc>
          <w:tcPr>
            <w:tcW w:w="1730" w:type="dxa"/>
            <w:vMerge w:val="continue"/>
            <w:vAlign w:val="center"/>
          </w:tcPr>
          <w:p>
            <w:pPr>
              <w:pStyle w:val="13"/>
              <w:jc w:val="center"/>
              <w:rPr>
                <w:rFonts w:asciiTheme="minorEastAsia" w:hAnsiTheme="minorEastAsia" w:eastAsiaTheme="minorEastAsia"/>
                <w:b/>
                <w:sz w:val="18"/>
                <w:szCs w:val="18"/>
              </w:rPr>
            </w:pPr>
          </w:p>
        </w:tc>
        <w:tc>
          <w:tcPr>
            <w:tcW w:w="2912" w:type="dxa"/>
            <w:vMerge w:val="continue"/>
            <w:vAlign w:val="center"/>
          </w:tcPr>
          <w:p>
            <w:pPr>
              <w:pStyle w:val="13"/>
              <w:jc w:val="center"/>
              <w:rPr>
                <w:rFonts w:asciiTheme="minorEastAsia" w:hAnsiTheme="minorEastAsia" w:eastAsiaTheme="minorEastAsia"/>
                <w:b/>
                <w:sz w:val="18"/>
                <w:szCs w:val="18"/>
              </w:rPr>
            </w:pPr>
          </w:p>
        </w:tc>
        <w:tc>
          <w:tcPr>
            <w:tcW w:w="555" w:type="dxa"/>
            <w:vAlign w:val="center"/>
          </w:tcPr>
          <w:p>
            <w:pPr>
              <w:pStyle w:val="13"/>
              <w:jc w:val="center"/>
              <w:rPr>
                <w:rFonts w:asciiTheme="minorEastAsia" w:hAnsiTheme="minorEastAsia" w:eastAsiaTheme="minorEastAsia"/>
                <w:b/>
                <w:sz w:val="18"/>
                <w:szCs w:val="18"/>
              </w:rPr>
            </w:pPr>
          </w:p>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全社会</w:t>
            </w:r>
          </w:p>
        </w:tc>
        <w:tc>
          <w:tcPr>
            <w:tcW w:w="512" w:type="dxa"/>
            <w:vAlign w:val="center"/>
          </w:tcPr>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pacing w:val="-9"/>
                <w:sz w:val="18"/>
                <w:szCs w:val="18"/>
              </w:rPr>
              <w:t>特定群体</w:t>
            </w:r>
          </w:p>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w:t>
            </w:r>
            <w:r>
              <w:rPr>
                <w:rFonts w:hint="eastAsia" w:cs="宋体" w:asciiTheme="minorEastAsia" w:hAnsiTheme="minorEastAsia" w:eastAsiaTheme="minorEastAsia"/>
                <w:b/>
                <w:spacing w:val="-17"/>
                <w:sz w:val="18"/>
                <w:szCs w:val="18"/>
              </w:rPr>
              <w:t>请</w:t>
            </w:r>
            <w:r>
              <w:rPr>
                <w:rFonts w:hint="eastAsia" w:cs="宋体" w:asciiTheme="minorEastAsia" w:hAnsiTheme="minorEastAsia" w:eastAsiaTheme="minorEastAsia"/>
                <w:b/>
                <w:sz w:val="18"/>
                <w:szCs w:val="18"/>
              </w:rPr>
              <w:t>写</w:t>
            </w:r>
            <w:r>
              <w:rPr>
                <w:rFonts w:hint="eastAsia" w:asciiTheme="minorEastAsia" w:hAnsiTheme="minorEastAsia" w:eastAsiaTheme="minorEastAsia"/>
                <w:b/>
                <w:sz w:val="18"/>
                <w:szCs w:val="18"/>
              </w:rPr>
              <w:t xml:space="preserve"> </w:t>
            </w:r>
            <w:r>
              <w:rPr>
                <w:rFonts w:hint="eastAsia" w:cs="宋体" w:asciiTheme="minorEastAsia" w:hAnsiTheme="minorEastAsia" w:eastAsiaTheme="minorEastAsia"/>
                <w:b/>
                <w:sz w:val="18"/>
                <w:szCs w:val="18"/>
              </w:rPr>
              <w:t>明</w:t>
            </w:r>
            <w:r>
              <w:rPr>
                <w:rFonts w:hint="eastAsia" w:cs="宋体" w:asciiTheme="minorEastAsia" w:hAnsiTheme="minorEastAsia" w:eastAsiaTheme="minorEastAsia"/>
                <w:b/>
                <w:spacing w:val="-17"/>
                <w:sz w:val="18"/>
                <w:szCs w:val="18"/>
              </w:rPr>
              <w:t>）</w:t>
            </w:r>
          </w:p>
        </w:tc>
        <w:tc>
          <w:tcPr>
            <w:tcW w:w="392" w:type="dxa"/>
            <w:vAlign w:val="center"/>
          </w:tcPr>
          <w:p>
            <w:pPr>
              <w:pStyle w:val="13"/>
              <w:jc w:val="center"/>
              <w:rPr>
                <w:rFonts w:asciiTheme="minorEastAsia" w:hAnsiTheme="minorEastAsia" w:eastAsiaTheme="minorEastAsia"/>
                <w:b/>
                <w:sz w:val="18"/>
                <w:szCs w:val="18"/>
              </w:rPr>
            </w:pPr>
          </w:p>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主动</w:t>
            </w:r>
          </w:p>
        </w:tc>
        <w:tc>
          <w:tcPr>
            <w:tcW w:w="361" w:type="dxa"/>
            <w:vAlign w:val="center"/>
          </w:tcPr>
          <w:p>
            <w:pPr>
              <w:pStyle w:val="13"/>
              <w:jc w:val="center"/>
              <w:rPr>
                <w:rFonts w:asciiTheme="minorEastAsia" w:hAnsiTheme="minorEastAsia" w:eastAsiaTheme="minorEastAsia"/>
                <w:b/>
                <w:sz w:val="18"/>
                <w:szCs w:val="18"/>
              </w:rPr>
            </w:pPr>
          </w:p>
          <w:p>
            <w:pPr>
              <w:pStyle w:val="13"/>
              <w:jc w:val="center"/>
              <w:rPr>
                <w:rFonts w:asciiTheme="minorEastAsia" w:hAnsiTheme="minorEastAsia" w:eastAsiaTheme="minorEastAsia"/>
                <w:b/>
                <w:sz w:val="18"/>
                <w:szCs w:val="18"/>
              </w:rPr>
            </w:pPr>
            <w:r>
              <w:rPr>
                <w:rFonts w:hint="eastAsia" w:cs="宋体" w:asciiTheme="minorEastAsia" w:hAnsiTheme="minorEastAsia" w:eastAsiaTheme="minorEastAsia"/>
                <w:b/>
                <w:sz w:val="18"/>
                <w:szCs w:val="18"/>
              </w:rPr>
              <w:t>依申请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1"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106"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政府采购信息</w:t>
            </w: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招标公告</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采购人及其委托的采购代理机构的名称</w:t>
            </w:r>
          </w:p>
          <w:p>
            <w:pPr>
              <w:pStyle w:val="13"/>
              <w:rPr>
                <w:rFonts w:asciiTheme="minorEastAsia" w:hAnsiTheme="minorEastAsia" w:eastAsiaTheme="minorEastAsia"/>
                <w:sz w:val="18"/>
                <w:szCs w:val="18"/>
              </w:rPr>
            </w:pPr>
            <w:r>
              <w:rPr>
                <w:rFonts w:asciiTheme="minorEastAsia" w:hAnsiTheme="minorEastAsia" w:eastAsiaTheme="minorEastAsia"/>
                <w:spacing w:val="-1"/>
                <w:sz w:val="18"/>
                <w:szCs w:val="18"/>
              </w:rPr>
              <w:t>、地址和联系方法；采购项目的名称、预算金额，设定最高限价的，还应当公开最高限价；采购人的采购需求；投标人的资格要求；获取招标文件的时间、</w:t>
            </w:r>
            <w:r>
              <w:rPr>
                <w:rFonts w:asciiTheme="minorEastAsia" w:hAnsiTheme="minorEastAsia" w:eastAsiaTheme="minorEastAsia"/>
                <w:sz w:val="18"/>
                <w:szCs w:val="18"/>
              </w:rPr>
              <w:t xml:space="preserve">地点、方式及招标文件售价；公告期 </w:t>
            </w:r>
            <w:r>
              <w:rPr>
                <w:rFonts w:asciiTheme="minorEastAsia" w:hAnsiTheme="minorEastAsia" w:eastAsiaTheme="minorEastAsia"/>
                <w:spacing w:val="-1"/>
                <w:sz w:val="18"/>
                <w:szCs w:val="18"/>
              </w:rPr>
              <w:t xml:space="preserve">限；投标截止时间、开标时间及地点； </w:t>
            </w:r>
            <w:r>
              <w:rPr>
                <w:rFonts w:asciiTheme="minorEastAsia" w:hAnsiTheme="minorEastAsia" w:eastAsiaTheme="minorEastAsia"/>
                <w:sz w:val="18"/>
                <w:szCs w:val="18"/>
              </w:rPr>
              <w:t>采购项目联系人姓名和电话。</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pacing w:val="-2"/>
                <w:sz w:val="18"/>
                <w:szCs w:val="18"/>
              </w:rPr>
              <w:t>《国务院办公厅关于推进公共资源配置领域政府信息公开的意见</w:t>
            </w:r>
            <w:r>
              <w:rPr>
                <w:rFonts w:asciiTheme="minorEastAsia" w:hAnsiTheme="minorEastAsia" w:eastAsiaTheme="minorEastAsia"/>
                <w:sz w:val="18"/>
                <w:szCs w:val="18"/>
              </w:rPr>
              <w:t>》（国办发〔2017〕97号）</w:t>
            </w:r>
            <w:r>
              <w:rPr>
                <w:rFonts w:asciiTheme="minorEastAsia" w:hAnsiTheme="minorEastAsia" w:eastAsiaTheme="minorEastAsia"/>
                <w:spacing w:val="-9"/>
                <w:sz w:val="18"/>
                <w:szCs w:val="18"/>
              </w:rPr>
              <w:t>、《</w:t>
            </w:r>
            <w:r>
              <w:rPr>
                <w:rFonts w:asciiTheme="minorEastAsia" w:hAnsiTheme="minorEastAsia" w:eastAsiaTheme="minorEastAsia"/>
                <w:sz w:val="18"/>
                <w:szCs w:val="18"/>
              </w:rPr>
              <w:t>政府采购货物和服务招标投标管理办法》（财政部令第87号）</w:t>
            </w:r>
            <w:r>
              <w:rPr>
                <w:rFonts w:asciiTheme="minorEastAsia" w:hAnsiTheme="minorEastAsia" w:eastAsiaTheme="minorEastAsia"/>
                <w:spacing w:val="-13"/>
                <w:sz w:val="18"/>
                <w:szCs w:val="18"/>
              </w:rPr>
              <w:t>、</w:t>
            </w:r>
            <w:r>
              <w:rPr>
                <w:rFonts w:asciiTheme="minorEastAsia" w:hAnsiTheme="minorEastAsia" w:eastAsiaTheme="minorEastAsia"/>
                <w:spacing w:val="-1"/>
                <w:sz w:val="18"/>
                <w:szCs w:val="18"/>
              </w:rPr>
              <w:t>《财政部关于做好政府采购信息</w:t>
            </w:r>
            <w:r>
              <w:rPr>
                <w:rFonts w:asciiTheme="minorEastAsia" w:hAnsiTheme="minorEastAsia" w:eastAsiaTheme="minorEastAsia"/>
                <w:sz w:val="18"/>
                <w:szCs w:val="18"/>
              </w:rPr>
              <w:t>公开工作的通知》（财库〔</w:t>
            </w:r>
            <w:r>
              <w:rPr>
                <w:rFonts w:asciiTheme="minorEastAsia" w:hAnsiTheme="minorEastAsia" w:eastAsiaTheme="minorEastAsia"/>
                <w:spacing w:val="-5"/>
                <w:sz w:val="18"/>
                <w:szCs w:val="18"/>
              </w:rPr>
              <w:t>2015</w:t>
            </w:r>
            <w:r>
              <w:rPr>
                <w:rFonts w:asciiTheme="minorEastAsia" w:hAnsiTheme="minorEastAsia" w:eastAsiaTheme="minorEastAsia"/>
                <w:sz w:val="18"/>
                <w:szCs w:val="18"/>
              </w:rPr>
              <w:t>〕135号）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及时公开，公告期限为5个工作日</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2"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资格预审公告</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采购人及其委托的采购代理机构的名称</w:t>
            </w:r>
          </w:p>
          <w:p>
            <w:pPr>
              <w:pStyle w:val="13"/>
              <w:rPr>
                <w:rFonts w:asciiTheme="minorEastAsia" w:hAnsiTheme="minorEastAsia" w:eastAsiaTheme="minorEastAsia"/>
                <w:sz w:val="18"/>
                <w:szCs w:val="18"/>
              </w:rPr>
            </w:pPr>
            <w:r>
              <w:rPr>
                <w:rFonts w:asciiTheme="minorEastAsia" w:hAnsiTheme="minorEastAsia" w:eastAsiaTheme="minorEastAsia"/>
                <w:sz w:val="18"/>
                <w:szCs w:val="18"/>
              </w:rPr>
              <w:t>、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pacing w:val="-2"/>
                <w:sz w:val="18"/>
                <w:szCs w:val="18"/>
              </w:rPr>
              <w:t>《国务院办公厅关于推进公共资源配置领域政府信息公开的意见</w:t>
            </w:r>
            <w:r>
              <w:rPr>
                <w:rFonts w:asciiTheme="minorEastAsia" w:hAnsiTheme="minorEastAsia" w:eastAsiaTheme="minorEastAsia"/>
                <w:sz w:val="18"/>
                <w:szCs w:val="18"/>
              </w:rPr>
              <w:t>》（国办发〔2017〕97号）</w:t>
            </w:r>
            <w:r>
              <w:rPr>
                <w:rFonts w:asciiTheme="minorEastAsia" w:hAnsiTheme="minorEastAsia" w:eastAsiaTheme="minorEastAsia"/>
                <w:spacing w:val="-9"/>
                <w:sz w:val="18"/>
                <w:szCs w:val="18"/>
              </w:rPr>
              <w:t>、《</w:t>
            </w:r>
            <w:r>
              <w:rPr>
                <w:rFonts w:asciiTheme="minorEastAsia" w:hAnsiTheme="minorEastAsia" w:eastAsiaTheme="minorEastAsia"/>
                <w:sz w:val="18"/>
                <w:szCs w:val="18"/>
              </w:rPr>
              <w:t>政府采购货物和服务招标投标管理办法》（财政部令第87号）</w:t>
            </w:r>
            <w:r>
              <w:rPr>
                <w:rFonts w:asciiTheme="minorEastAsia" w:hAnsiTheme="minorEastAsia" w:eastAsiaTheme="minorEastAsia"/>
                <w:spacing w:val="-13"/>
                <w:sz w:val="18"/>
                <w:szCs w:val="18"/>
              </w:rPr>
              <w:t>、</w:t>
            </w:r>
            <w:r>
              <w:rPr>
                <w:rFonts w:asciiTheme="minorEastAsia" w:hAnsiTheme="minorEastAsia" w:eastAsiaTheme="minorEastAsia"/>
                <w:spacing w:val="-1"/>
                <w:sz w:val="18"/>
                <w:szCs w:val="18"/>
              </w:rPr>
              <w:t>《财政部关于做好政府采购信息</w:t>
            </w:r>
            <w:r>
              <w:rPr>
                <w:rFonts w:asciiTheme="minorEastAsia" w:hAnsiTheme="minorEastAsia" w:eastAsiaTheme="minorEastAsia"/>
                <w:sz w:val="18"/>
                <w:szCs w:val="18"/>
              </w:rPr>
              <w:t>公开工作的通知》（财库〔</w:t>
            </w:r>
            <w:r>
              <w:rPr>
                <w:rFonts w:asciiTheme="minorEastAsia" w:hAnsiTheme="minorEastAsia" w:eastAsiaTheme="minorEastAsia"/>
                <w:spacing w:val="-5"/>
                <w:sz w:val="18"/>
                <w:szCs w:val="18"/>
              </w:rPr>
              <w:t>2015</w:t>
            </w:r>
            <w:r>
              <w:rPr>
                <w:rFonts w:asciiTheme="minorEastAsia" w:hAnsiTheme="minorEastAsia" w:eastAsiaTheme="minorEastAsia"/>
                <w:sz w:val="18"/>
                <w:szCs w:val="18"/>
              </w:rPr>
              <w:t>〕135号）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及时公开，公告期限为5个工作日</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竞争性谈判公告、竞争性磋商公告和询价公告</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w:t>
            </w:r>
          </w:p>
          <w:p>
            <w:pPr>
              <w:pStyle w:val="13"/>
              <w:rPr>
                <w:rFonts w:asciiTheme="minorEastAsia" w:hAnsiTheme="minorEastAsia" w:eastAsiaTheme="minorEastAsia"/>
                <w:sz w:val="18"/>
                <w:szCs w:val="18"/>
              </w:rPr>
            </w:pPr>
            <w:r>
              <w:rPr>
                <w:rFonts w:asciiTheme="minorEastAsia" w:hAnsiTheme="minorEastAsia" w:eastAsiaTheme="minorEastAsia"/>
                <w:sz w:val="18"/>
                <w:szCs w:val="18"/>
              </w:rPr>
              <w:t>、方式及文件售价，响应文件提交的截止时间、开启时间及地点，采购项目联系人姓名和电话。</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及时公开，公告期限为3个工作日</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4</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采购项目预算金额</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采购项目的预算金额以财政部门批复的部门预算中的政府采购预算为依据；对于部门预算批复前进行采购的项目，以预算</w:t>
            </w:r>
            <w:r>
              <w:rPr>
                <w:rFonts w:asciiTheme="minorEastAsia" w:hAnsiTheme="minorEastAsia" w:eastAsiaTheme="minorEastAsia"/>
                <w:w w:val="155"/>
                <w:sz w:val="18"/>
                <w:szCs w:val="18"/>
              </w:rPr>
              <w:t>“</w:t>
            </w:r>
            <w:r>
              <w:rPr>
                <w:rFonts w:asciiTheme="minorEastAsia" w:hAnsiTheme="minorEastAsia" w:eastAsiaTheme="minorEastAsia"/>
                <w:sz w:val="18"/>
                <w:szCs w:val="18"/>
              </w:rPr>
              <w:t>二上数</w:t>
            </w:r>
            <w:r>
              <w:rPr>
                <w:rFonts w:asciiTheme="minorEastAsia" w:hAnsiTheme="minorEastAsia" w:eastAsiaTheme="minorEastAsia"/>
                <w:w w:val="155"/>
                <w:sz w:val="18"/>
                <w:szCs w:val="18"/>
              </w:rPr>
              <w:t>”</w:t>
            </w:r>
            <w:r>
              <w:rPr>
                <w:rFonts w:asciiTheme="minorEastAsia" w:hAnsiTheme="minorEastAsia" w:eastAsiaTheme="minorEastAsia"/>
                <w:sz w:val="18"/>
                <w:szCs w:val="18"/>
              </w:rPr>
              <w:t>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采购公告、采购文件公开</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采购文件</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招标文件、竞争性谈判文件、竞争性磋商文件和询价通知书。</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随中标、成交结果同时公告。中标、成交结果公告前采购文件已公告的，不再重复公告</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采购信息更正公告</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采购人和采购代理机构名称、地址、联系方式；原公告的采购项目名称及首次公告日期；更正事项、内容及日期；采购项目联系人和电话。</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投标截止时间至少15日前、提交资格预审申请文件截止时间至少3日前，或者提交首次响应文件截止之日3个工作日前</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单一来源公示</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pacing w:val="-1"/>
                <w:sz w:val="18"/>
                <w:szCs w:val="18"/>
              </w:rPr>
              <w:t>采购人、采购项目名称；拟采购的货物或者服务的说明、拟采购的货物或者服务的预算金额；采用单一来源方式的原因及相关说明；拟定的唯一供应商名称</w:t>
            </w:r>
            <w:r>
              <w:rPr>
                <w:rFonts w:asciiTheme="minorEastAsia" w:hAnsiTheme="minorEastAsia" w:eastAsiaTheme="minorEastAsia"/>
                <w:sz w:val="18"/>
                <w:szCs w:val="18"/>
              </w:rPr>
              <w:t>、地址；专业人员对相关供应商因专利、专有技术等原因具有唯一性的具体论证意见，以及专业人员的姓名、工作单位和职称；公示的期限；采购人、采购代理机构、财政部门的联系地址、联系人和联系电话。</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及时公开，公示期限不得少于5 个工作日</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协议供货和定点采购的具体成交记录</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采购人和成交供应商的名称、成交金额以及成交标的的名称、规格型号、数量</w:t>
            </w:r>
          </w:p>
          <w:p>
            <w:pPr>
              <w:pStyle w:val="13"/>
              <w:rPr>
                <w:rFonts w:asciiTheme="minorEastAsia" w:hAnsiTheme="minorEastAsia" w:eastAsiaTheme="minorEastAsia"/>
                <w:sz w:val="18"/>
                <w:szCs w:val="18"/>
              </w:rPr>
            </w:pPr>
            <w:r>
              <w:rPr>
                <w:rFonts w:asciiTheme="minorEastAsia" w:hAnsiTheme="minorEastAsia" w:eastAsiaTheme="minorEastAsia"/>
                <w:sz w:val="18"/>
                <w:szCs w:val="18"/>
              </w:rPr>
              <w:t>、单价等。电子卖场、电子商城、网上超市等的具体成交记录，也应当予以公开。</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《关于进一步做好政府采购信息公开工作有关事项的通知》(财库〔2017〕86号)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集中采购机构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中标、成交结果</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pacing w:val="-1"/>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自中标、成交供应商确定之日起2个工作日内公告，公告期限为1个工作日</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10</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采购合同</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采购人和采购代理机构名称、地址、联系方式；采购项目名称、编号，合同编号；供应商名称；合同内容。</w:t>
            </w:r>
          </w:p>
          <w:p>
            <w:pPr>
              <w:pStyle w:val="13"/>
              <w:rPr>
                <w:rFonts w:asciiTheme="minorEastAsia" w:hAnsiTheme="minorEastAsia" w:eastAsiaTheme="minorEastAsia"/>
                <w:sz w:val="18"/>
                <w:szCs w:val="18"/>
              </w:rPr>
            </w:pPr>
            <w:r>
              <w:rPr>
                <w:rFonts w:asciiTheme="minorEastAsia" w:hAnsiTheme="minorEastAsia" w:eastAsiaTheme="minorEastAsia"/>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合同签订之日起2个工作日内</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终止公告</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pacing w:val="-1"/>
                <w:sz w:val="18"/>
                <w:szCs w:val="18"/>
              </w:rPr>
              <w:t>采购人和采购代理机构名称、地址、联系方式；采购项目名称、采购编号，采</w:t>
            </w:r>
            <w:r>
              <w:rPr>
                <w:rFonts w:asciiTheme="minorEastAsia" w:hAnsiTheme="minorEastAsia" w:eastAsiaTheme="minorEastAsia"/>
                <w:sz w:val="18"/>
                <w:szCs w:val="18"/>
              </w:rPr>
              <w:t>购方式；采购项目终止原因；公告期 限；采购项目联系人和电话。</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采购人或者其委托的采购代理机构</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公共服务项目采购需求</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采购对象需实现的功能或者目标，满足项目需要的所有技术、服务、安全等要求，采购对象的数量、交付或实施的时间和地点，采购对象的验收标准等。</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《财政部关于做好政府采购信息公开工作的通知》（财库〔2015</w:t>
            </w:r>
          </w:p>
          <w:p>
            <w:pPr>
              <w:pStyle w:val="13"/>
              <w:rPr>
                <w:rFonts w:asciiTheme="minorEastAsia" w:hAnsiTheme="minorEastAsia" w:eastAsiaTheme="minorEastAsia"/>
                <w:sz w:val="18"/>
                <w:szCs w:val="18"/>
              </w:rPr>
            </w:pPr>
            <w:r>
              <w:rPr>
                <w:rFonts w:asciiTheme="minorEastAsia" w:hAnsiTheme="minorEastAsia" w:eastAsiaTheme="minorEastAsia"/>
                <w:sz w:val="18"/>
                <w:szCs w:val="18"/>
              </w:rPr>
              <w:t>〕135号）、《关于进一步加强政府采购需求和履约验收管理的指导意见》（财库〔2016〕205 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及时公开</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13</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公共服务项目验收结果</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采购人和采购代理机构名称、地址、联系方式；采购项目名称、编号，合同编号；履约供应商名称；验收单位；验收结果；验收人员。</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验收结束之日起2个工作日内</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采购人</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14</w:t>
            </w:r>
          </w:p>
        </w:tc>
        <w:tc>
          <w:tcPr>
            <w:tcW w:w="1106" w:type="dxa"/>
            <w:vMerge w:val="continue"/>
          </w:tcPr>
          <w:p>
            <w:pPr>
              <w:pStyle w:val="13"/>
              <w:jc w:val="center"/>
              <w:rPr>
                <w:rFonts w:asciiTheme="minorEastAsia" w:hAnsiTheme="minorEastAsia" w:eastAsiaTheme="minorEastAsia"/>
                <w:sz w:val="18"/>
                <w:szCs w:val="18"/>
              </w:rPr>
            </w:pPr>
          </w:p>
        </w:tc>
        <w:tc>
          <w:tcPr>
            <w:tcW w:w="11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投诉、监督检查等处理决定公告</w:t>
            </w:r>
          </w:p>
        </w:tc>
        <w:tc>
          <w:tcPr>
            <w:tcW w:w="2910"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相关当事人名称及地址、投诉涉及采购项目名称及采购日期、投诉事项或监督检查主要事项、处理依据、处理结果、执法机关名称、公告日期等。</w:t>
            </w:r>
          </w:p>
        </w:tc>
        <w:tc>
          <w:tcPr>
            <w:tcW w:w="2595" w:type="dxa"/>
            <w:vAlign w:val="center"/>
          </w:tcPr>
          <w:p>
            <w:pPr>
              <w:pStyle w:val="13"/>
              <w:rPr>
                <w:rFonts w:asciiTheme="minorEastAsia" w:hAnsiTheme="minorEastAsia" w:eastAsiaTheme="minorEastAsia"/>
                <w:sz w:val="18"/>
                <w:szCs w:val="18"/>
              </w:rPr>
            </w:pPr>
            <w:r>
              <w:rPr>
                <w:rFonts w:asciiTheme="minorEastAsia" w:hAnsiTheme="minorEastAsia" w:eastAsiaTheme="minorEastAsia"/>
                <w:sz w:val="18"/>
                <w:szCs w:val="18"/>
              </w:rPr>
              <w:t>《国务院办公厅关于推进公共资源配置领域政府信息公开的意见</w:t>
            </w:r>
          </w:p>
          <w:p>
            <w:pPr>
              <w:pStyle w:val="13"/>
              <w:rPr>
                <w:rFonts w:asciiTheme="minorEastAsia" w:hAnsiTheme="minorEastAsia" w:eastAsiaTheme="minorEastAsia"/>
                <w:sz w:val="18"/>
                <w:szCs w:val="18"/>
              </w:rPr>
            </w:pPr>
            <w:r>
              <w:rPr>
                <w:rFonts w:asciiTheme="minorEastAsia" w:hAnsiTheme="minorEastAsia" w:eastAsiaTheme="minorEastAsia"/>
                <w:sz w:val="18"/>
                <w:szCs w:val="18"/>
              </w:rPr>
              <w:t>》（国办发〔2017〕97号）、《财政部关于做好政府采购信息公开工作的通知》（财库〔2015〕135号）</w:t>
            </w:r>
          </w:p>
        </w:tc>
        <w:tc>
          <w:tcPr>
            <w:tcW w:w="115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完成并履行有关报审程序后5个工作日内</w:t>
            </w:r>
          </w:p>
        </w:tc>
        <w:tc>
          <w:tcPr>
            <w:tcW w:w="1730"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财政部门</w:t>
            </w:r>
          </w:p>
        </w:tc>
        <w:tc>
          <w:tcPr>
            <w:tcW w:w="2912" w:type="dxa"/>
          </w:tcPr>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□政府网站</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政府公报</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□两微一端</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发布会听证会</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□广播电视</w:t>
            </w:r>
            <w:r>
              <w:rPr>
                <w:rFonts w:asciiTheme="minorEastAsia" w:hAnsiTheme="minorEastAsia" w:eastAsiaTheme="minorEastAsia"/>
                <w:w w:val="110"/>
                <w:sz w:val="18"/>
                <w:szCs w:val="18"/>
              </w:rPr>
              <w:tab/>
            </w:r>
            <w:r>
              <w:rPr>
                <w:rFonts w:hint="eastAsia"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纸质媒体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□公开查阅点</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□政务服务中心</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□便民服务站</w:t>
            </w:r>
            <w:r>
              <w:rPr>
                <w:rFonts w:asciiTheme="minorEastAsia" w:hAnsiTheme="minorEastAsia" w:eastAsiaTheme="minorEastAsia"/>
                <w:w w:val="110"/>
                <w:sz w:val="18"/>
                <w:szCs w:val="18"/>
              </w:rPr>
              <w:tab/>
            </w:r>
            <w:r>
              <w:rPr>
                <w:rFonts w:hint="eastAsia" w:cs="宋体" w:asciiTheme="minorEastAsia" w:hAnsiTheme="minorEastAsia" w:eastAsiaTheme="minorEastAsia"/>
                <w:w w:val="110"/>
                <w:sz w:val="18"/>
                <w:szCs w:val="18"/>
              </w:rPr>
              <w:t>□入户</w:t>
            </w:r>
            <w:r>
              <w:rPr>
                <w:rFonts w:asciiTheme="minorEastAsia" w:hAnsiTheme="minorEastAsia" w:eastAsiaTheme="minorEastAsia"/>
                <w:w w:val="110"/>
                <w:sz w:val="18"/>
                <w:szCs w:val="18"/>
              </w:rPr>
              <w:t>/</w:t>
            </w:r>
            <w:r>
              <w:rPr>
                <w:rFonts w:hint="eastAsia" w:cs="宋体" w:asciiTheme="minorEastAsia" w:hAnsiTheme="minorEastAsia" w:eastAsiaTheme="minorEastAsia"/>
                <w:w w:val="110"/>
                <w:sz w:val="18"/>
                <w:szCs w:val="18"/>
              </w:rPr>
              <w:t>现场</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社区/企事业单位/村公示栏（电</w:t>
            </w:r>
            <w:r>
              <w:rPr>
                <w:rFonts w:hint="eastAsia" w:cs="宋体" w:asciiTheme="minorEastAsia" w:hAnsiTheme="minorEastAsia" w:eastAsiaTheme="minorEastAsia"/>
                <w:w w:val="105"/>
                <w:sz w:val="18"/>
                <w:szCs w:val="18"/>
              </w:rPr>
              <w:t>子屏）</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精准推送</w:t>
            </w:r>
          </w:p>
          <w:p>
            <w:pPr>
              <w:pStyle w:val="13"/>
              <w:rPr>
                <w:rFonts w:cs="宋体" w:asciiTheme="minorEastAsia" w:hAnsiTheme="minorEastAsia" w:eastAsiaTheme="minorEastAsia"/>
                <w:w w:val="105"/>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中国政府采购网及其地方分网</w:t>
            </w:r>
          </w:p>
          <w:p>
            <w:pPr>
              <w:pStyle w:val="13"/>
              <w:rPr>
                <w:rFonts w:asciiTheme="minorEastAsia" w:hAnsiTheme="minorEastAsia" w:eastAsiaTheme="minorEastAsia"/>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省级（含计划单列市）</w:t>
            </w:r>
            <w:r>
              <w:rPr>
                <w:rFonts w:asciiTheme="minorEastAsia" w:hAnsiTheme="minorEastAsia" w:eastAsiaTheme="minorEastAsia"/>
                <w:spacing w:val="-5"/>
                <w:sz w:val="18"/>
                <w:szCs w:val="18"/>
              </w:rPr>
              <w:t>财政部门</w:t>
            </w:r>
            <w:r>
              <w:rPr>
                <w:rFonts w:hint="eastAsia" w:cs="宋体" w:asciiTheme="minorEastAsia" w:hAnsiTheme="minorEastAsia" w:eastAsiaTheme="minorEastAsia"/>
                <w:w w:val="105"/>
                <w:sz w:val="18"/>
                <w:szCs w:val="18"/>
              </w:rPr>
              <w:t>指定的媒体</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z w:val="18"/>
                <w:szCs w:val="18"/>
              </w:rPr>
              <w:t>《中国财经报》（《中国政府采</w:t>
            </w:r>
            <w:r>
              <w:rPr>
                <w:rFonts w:hint="eastAsia" w:cs="宋体" w:asciiTheme="minorEastAsia" w:hAnsiTheme="minorEastAsia" w:eastAsiaTheme="minorEastAsia"/>
                <w:w w:val="105"/>
                <w:sz w:val="18"/>
                <w:szCs w:val="18"/>
              </w:rPr>
              <w:t>购报》）</w:t>
            </w:r>
          </w:p>
          <w:p>
            <w:pPr>
              <w:pStyle w:val="13"/>
              <w:rPr>
                <w:rFonts w:asciiTheme="minorEastAsia" w:hAnsiTheme="minorEastAsia" w:eastAsiaTheme="minorEastAsia"/>
                <w:spacing w:val="-2"/>
                <w:sz w:val="18"/>
                <w:szCs w:val="18"/>
              </w:rPr>
            </w:pPr>
            <w:r>
              <w:rPr>
                <w:rFonts w:hint="eastAsia" w:cs="宋体" w:asciiTheme="minorEastAsia" w:hAnsiTheme="minorEastAsia" w:eastAsiaTheme="minorEastAsia"/>
                <w:w w:val="110"/>
                <w:sz w:val="18"/>
                <w:szCs w:val="18"/>
              </w:rPr>
              <w:t>□</w:t>
            </w:r>
            <w:r>
              <w:rPr>
                <w:rFonts w:asciiTheme="minorEastAsia" w:hAnsiTheme="minorEastAsia" w:eastAsiaTheme="minorEastAsia"/>
                <w:spacing w:val="-2"/>
                <w:sz w:val="18"/>
                <w:szCs w:val="18"/>
              </w:rPr>
              <w:t>《中国政府采购杂志》</w:t>
            </w:r>
          </w:p>
          <w:p>
            <w:pPr>
              <w:pStyle w:val="13"/>
              <w:rPr>
                <w:rFonts w:asciiTheme="minorEastAsia" w:hAnsiTheme="minorEastAsia" w:eastAsiaTheme="minorEastAsia"/>
                <w:sz w:val="18"/>
                <w:szCs w:val="18"/>
              </w:rPr>
            </w:pPr>
            <w:r>
              <w:rPr>
                <w:rFonts w:hint="eastAsia" w:cs="宋体" w:asciiTheme="minorEastAsia" w:hAnsiTheme="minorEastAsia" w:eastAsiaTheme="minorEastAsia"/>
                <w:w w:val="110"/>
                <w:sz w:val="18"/>
                <w:szCs w:val="18"/>
              </w:rPr>
              <w:t>□</w:t>
            </w:r>
            <w:r>
              <w:rPr>
                <w:rFonts w:hint="eastAsia" w:cs="宋体" w:asciiTheme="minorEastAsia" w:hAnsiTheme="minorEastAsia" w:eastAsiaTheme="minorEastAsia"/>
                <w:w w:val="105"/>
                <w:sz w:val="18"/>
                <w:szCs w:val="18"/>
              </w:rPr>
              <w:t>《中国财政杂志》</w:t>
            </w:r>
          </w:p>
          <w:p>
            <w:pPr>
              <w:rPr>
                <w:sz w:val="18"/>
                <w:szCs w:val="18"/>
              </w:rPr>
            </w:pPr>
            <w:r>
              <w:rPr>
                <w:rFonts w:cs="宋体" w:asciiTheme="minorEastAsia" w:hAnsiTheme="minorEastAsia" w:eastAsiaTheme="minorEastAsia"/>
                <w:w w:val="110"/>
                <w:sz w:val="18"/>
                <w:szCs w:val="18"/>
              </w:rPr>
              <w:fldChar w:fldCharType="begin"/>
            </w:r>
            <w:r>
              <w:rPr>
                <w:rFonts w:cs="宋体" w:asciiTheme="minorEastAsia" w:hAnsiTheme="minorEastAsia" w:eastAsiaTheme="minorEastAsia"/>
                <w:w w:val="110"/>
                <w:sz w:val="18"/>
                <w:szCs w:val="18"/>
              </w:rPr>
              <w:instrText xml:space="preserve"> </w:instrText>
            </w:r>
            <w:r>
              <w:rPr>
                <w:rFonts w:hint="eastAsia" w:cs="宋体" w:asciiTheme="minorEastAsia" w:hAnsiTheme="minorEastAsia" w:eastAsiaTheme="minorEastAsia"/>
                <w:w w:val="110"/>
                <w:sz w:val="18"/>
                <w:szCs w:val="18"/>
              </w:rPr>
              <w:instrText xml:space="preserve">eq \o\ac(□,</w:instrText>
            </w:r>
            <w:r>
              <w:rPr>
                <w:rFonts w:hint="eastAsia" w:ascii="宋体" w:cs="宋体" w:hAnsiTheme="minorEastAsia" w:eastAsiaTheme="minorEastAsia"/>
                <w:w w:val="110"/>
                <w:position w:val="2"/>
                <w:sz w:val="18"/>
                <w:szCs w:val="18"/>
              </w:rPr>
              <w:instrText xml:space="preserve">√</w:instrText>
            </w:r>
            <w:r>
              <w:rPr>
                <w:rFonts w:hint="eastAsia" w:cs="宋体" w:asciiTheme="minorEastAsia" w:hAnsiTheme="minorEastAsia" w:eastAsiaTheme="minorEastAsia"/>
                <w:w w:val="110"/>
                <w:sz w:val="18"/>
                <w:szCs w:val="18"/>
              </w:rPr>
              <w:instrText xml:space="preserve">)</w:instrText>
            </w:r>
            <w:r>
              <w:rPr>
                <w:rFonts w:cs="宋体" w:asciiTheme="minorEastAsia" w:hAnsiTheme="minorEastAsia" w:eastAsiaTheme="minorEastAsia"/>
                <w:w w:val="110"/>
                <w:sz w:val="18"/>
                <w:szCs w:val="18"/>
              </w:rPr>
              <w:fldChar w:fldCharType="end"/>
            </w:r>
            <w:r>
              <w:rPr>
                <w:rFonts w:asciiTheme="minorEastAsia" w:hAnsiTheme="minorEastAsia" w:eastAsiaTheme="minorEastAsia"/>
                <w:sz w:val="18"/>
                <w:szCs w:val="18"/>
              </w:rPr>
              <w:t>公共资源交易平台</w:t>
            </w:r>
            <w:r>
              <w:rPr>
                <w:rFonts w:hint="eastAsia" w:asciiTheme="minorEastAsia" w:hAnsiTheme="minorEastAsia" w:eastAsiaTheme="minorEastAsia"/>
                <w:sz w:val="18"/>
                <w:szCs w:val="18"/>
              </w:rPr>
              <w:t>□</w:t>
            </w:r>
          </w:p>
          <w:p>
            <w:pPr>
              <w:pStyle w:val="13"/>
              <w:rPr>
                <w:rFonts w:asciiTheme="minorEastAsia" w:hAnsiTheme="minorEastAsia" w:eastAsiaTheme="minorEastAsia"/>
                <w:sz w:val="18"/>
                <w:szCs w:val="18"/>
              </w:rPr>
            </w:pPr>
          </w:p>
        </w:tc>
        <w:tc>
          <w:tcPr>
            <w:tcW w:w="555"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512" w:type="dxa"/>
            <w:vAlign w:val="center"/>
          </w:tcPr>
          <w:p>
            <w:pPr>
              <w:pStyle w:val="13"/>
              <w:jc w:val="center"/>
              <w:rPr>
                <w:rFonts w:asciiTheme="minorEastAsia" w:hAnsiTheme="minorEastAsia" w:eastAsiaTheme="minorEastAsia"/>
                <w:sz w:val="18"/>
                <w:szCs w:val="18"/>
              </w:rPr>
            </w:pPr>
          </w:p>
        </w:tc>
        <w:tc>
          <w:tcPr>
            <w:tcW w:w="392" w:type="dxa"/>
            <w:vAlign w:val="center"/>
          </w:tcPr>
          <w:p>
            <w:pPr>
              <w:pStyle w:val="13"/>
              <w:jc w:val="center"/>
              <w:rPr>
                <w:rFonts w:asciiTheme="minorEastAsia" w:hAnsiTheme="minorEastAsia" w:eastAsiaTheme="minorEastAsia"/>
                <w:sz w:val="18"/>
                <w:szCs w:val="18"/>
              </w:rPr>
            </w:pPr>
            <w:r>
              <w:rPr>
                <w:rFonts w:asciiTheme="minorEastAsia" w:hAnsiTheme="minorEastAsia" w:eastAsiaTheme="minorEastAsia"/>
                <w:sz w:val="18"/>
                <w:szCs w:val="18"/>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15</w:t>
            </w:r>
          </w:p>
        </w:tc>
        <w:tc>
          <w:tcPr>
            <w:tcW w:w="1106" w:type="dxa"/>
            <w:vAlign w:val="top"/>
          </w:tcPr>
          <w:p>
            <w:pPr>
              <w:keepNext w:val="0"/>
              <w:keepLines w:val="0"/>
              <w:widowControl/>
              <w:suppressLineNumbers w:val="0"/>
              <w:jc w:val="left"/>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工程建设项目招标投标信息</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审批核准信息</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招标内容、招标范围、招标组织形式、招标方式、招标估算金额、招标事项审核或核准部门。</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《招标投标法实施条例》、《政府信息公开条例》、《国务院办公厅关于推进公共资源配置领域政府信息公开的意见》</w:t>
            </w: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信息形成之日起20个工作日内</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负责管理的部门分别公开</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center"/>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16</w:t>
            </w:r>
          </w:p>
        </w:tc>
        <w:tc>
          <w:tcPr>
            <w:tcW w:w="1106" w:type="dxa"/>
            <w:vAlign w:val="top"/>
          </w:tcPr>
          <w:p>
            <w:pPr>
              <w:keepNext w:val="0"/>
              <w:keepLines w:val="0"/>
              <w:widowControl/>
              <w:suppressLineNumbers w:val="0"/>
              <w:jc w:val="left"/>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 xml:space="preserve">工程建设项目招标投标信息 </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资格预审公告</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《招标投标法》、《招标投标法实施条例》、《国务院办公厅关于推进公共资源配置领域政府信息公开的意见》、《招标公告和公示信息发布管理办法》</w:t>
            </w:r>
          </w:p>
        </w:tc>
        <w:tc>
          <w:tcPr>
            <w:tcW w:w="1150"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及时公开</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center"/>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Merge w:val="restart"/>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17</w:t>
            </w:r>
          </w:p>
        </w:tc>
        <w:tc>
          <w:tcPr>
            <w:tcW w:w="1106" w:type="dxa"/>
            <w:vMerge w:val="restart"/>
            <w:vAlign w:val="top"/>
          </w:tcPr>
          <w:p>
            <w:pPr>
              <w:keepNext w:val="0"/>
              <w:keepLines w:val="0"/>
              <w:widowControl/>
              <w:suppressLineNumbers w:val="0"/>
              <w:jc w:val="left"/>
              <w:textAlignment w:val="center"/>
              <w:rPr>
                <w:rFonts w:cs="Noto Sans Mono CJK JP Bold" w:asciiTheme="minorEastAsia" w:hAnsiTheme="minorEastAsia" w:eastAsiaTheme="minorEastAsia"/>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 xml:space="preserve">工程建设项目招标投标信息 </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招标公告</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595" w:type="dxa"/>
            <w:vMerge w:val="restart"/>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《招标投标法》、《招标投标法实施条例》、《国务院办公厅关于推进公共资源配置领域政府信息公开的意见》、《招标公告和公示信息发布管理办法》、《电子招标投标办法》</w:t>
            </w:r>
          </w:p>
        </w:tc>
        <w:tc>
          <w:tcPr>
            <w:tcW w:w="1150"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及时公开</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center"/>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Merge w:val="continue"/>
            <w:tcBorders/>
            <w:vAlign w:val="center"/>
          </w:tcPr>
          <w:p>
            <w:pPr>
              <w:pStyle w:val="13"/>
              <w:jc w:val="center"/>
              <w:rPr>
                <w:rFonts w:hint="eastAsia" w:asciiTheme="minorEastAsia" w:hAnsiTheme="minorEastAsia" w:eastAsiaTheme="minorEastAsia"/>
                <w:sz w:val="18"/>
                <w:szCs w:val="18"/>
              </w:rPr>
            </w:pPr>
          </w:p>
        </w:tc>
        <w:tc>
          <w:tcPr>
            <w:tcW w:w="1106" w:type="dxa"/>
            <w:vMerge w:val="continue"/>
            <w:tcBorders/>
            <w:vAlign w:val="top"/>
          </w:tcPr>
          <w:p>
            <w:pPr>
              <w:pStyle w:val="13"/>
              <w:jc w:val="left"/>
              <w:rPr>
                <w:rFonts w:asciiTheme="minorEastAsia" w:hAnsiTheme="minorEastAsia" w:eastAsiaTheme="minorEastAsia"/>
                <w:sz w:val="18"/>
                <w:szCs w:val="18"/>
              </w:rPr>
            </w:pP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中标候选人公示</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p>
        </w:tc>
        <w:tc>
          <w:tcPr>
            <w:tcW w:w="2595" w:type="dxa"/>
            <w:vMerge w:val="continue"/>
            <w:tcBorders/>
            <w:vAlign w:val="center"/>
          </w:tcPr>
          <w:p>
            <w:pPr>
              <w:jc w:val="both"/>
              <w:rPr>
                <w:rFonts w:asciiTheme="minorEastAsia" w:hAnsiTheme="minorEastAsia" w:eastAsiaTheme="minorEastAsia"/>
                <w:sz w:val="18"/>
                <w:szCs w:val="18"/>
              </w:rPr>
            </w:pP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依法必须进行招标的项目，招标人应当自收到评标报告之日起3日内公示中标候选人，公示期不得少于3日</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center"/>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18</w:t>
            </w:r>
          </w:p>
        </w:tc>
        <w:tc>
          <w:tcPr>
            <w:tcW w:w="1106" w:type="dxa"/>
            <w:vAlign w:val="top"/>
          </w:tcPr>
          <w:p>
            <w:pPr>
              <w:pStyle w:val="13"/>
              <w:jc w:val="left"/>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 xml:space="preserve">工程建设项目招标投标信息 </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中标结果</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招标项目名称、中标人名称、中标价、工期、项目负责人、中标内容。</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 xml:space="preserve">《国务院办公厅关于推进公共资源配置领域政府信息公开的意见》、《招标公告和公示信息发布管理办法》、《电子招标投标办法》 </w:t>
            </w:r>
          </w:p>
        </w:tc>
        <w:tc>
          <w:tcPr>
            <w:tcW w:w="1150"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及时公开</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center"/>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19</w:t>
            </w:r>
          </w:p>
        </w:tc>
        <w:tc>
          <w:tcPr>
            <w:tcW w:w="1106" w:type="dxa"/>
            <w:vAlign w:val="top"/>
          </w:tcPr>
          <w:p>
            <w:pPr>
              <w:pStyle w:val="13"/>
              <w:jc w:val="left"/>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 xml:space="preserve">工程建设项目招标投标信息 </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资格预审文件、招标文件澄清或修改</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项目名称；标段名称；澄清或修改事项；招标人及其招标代理机构的名称、地址、联系人及联系方式。</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《招标投标法》、《招标投标法实施条例》、《电子招标投标办法》</w:t>
            </w: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依法必须进行招标的项目，澄清或者修改的内容可能影响资格预审申请文件或者投标文件编制的，应当在提交资格预审申请文件截止时间至少3日前，或者投标截止时间至少15日前</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w:t>
            </w:r>
          </w:p>
        </w:tc>
        <w:tc>
          <w:tcPr>
            <w:tcW w:w="1106" w:type="dxa"/>
            <w:vAlign w:val="top"/>
          </w:tcPr>
          <w:p>
            <w:pPr>
              <w:pStyle w:val="13"/>
              <w:jc w:val="left"/>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 xml:space="preserve">工程建设项目招标投标信息 </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招标公告和公示信息澄清、修改</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项目名称；标段名称；澄清或修改事项；招标人及其招标代理机构的名称、地址、联系人及联系方式。</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《招标公告和公示信息发布管理办法》</w:t>
            </w:r>
          </w:p>
        </w:tc>
        <w:tc>
          <w:tcPr>
            <w:tcW w:w="1150"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及时公开</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■辽宁建设工程信息网</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21</w:t>
            </w:r>
          </w:p>
        </w:tc>
        <w:tc>
          <w:tcPr>
            <w:tcW w:w="1106" w:type="dxa"/>
            <w:vAlign w:val="top"/>
          </w:tcPr>
          <w:p>
            <w:pPr>
              <w:pStyle w:val="13"/>
              <w:jc w:val="left"/>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 xml:space="preserve">工程建设项目招标投标信息 </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暂停、终止招标</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招标人名称、招标项目名称、招标项目编号、本项目首次公告日期、招标暂停或终止原因、联系方式、其他事项。</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《招标公告和公示信息发布管理办法》）</w:t>
            </w:r>
          </w:p>
        </w:tc>
        <w:tc>
          <w:tcPr>
            <w:tcW w:w="1150"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及时公开</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招标人或者其委托的招标代理机构</w:t>
            </w:r>
          </w:p>
        </w:tc>
        <w:tc>
          <w:tcPr>
            <w:tcW w:w="291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■信用中国</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22</w:t>
            </w:r>
          </w:p>
        </w:tc>
        <w:tc>
          <w:tcPr>
            <w:tcW w:w="1106" w:type="dxa"/>
            <w:vAlign w:val="top"/>
          </w:tcPr>
          <w:p>
            <w:pPr>
              <w:pStyle w:val="13"/>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国有土地使用权出让信息</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土地出让计划</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明确国有建设用地供应指导思想和原则；提出国有建设用地供应政策导向；确定国有建设用地供应总量、结构、布局、时序和方式；落实计划供应的宗地；实施计划的保障措施。</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《国务院办公厅关于推进公共资源配置领域政府信息公开的意见》(国办发(2017)97号)、《招标拍卖挂牌出让国有建设用地使用权规定》《国有建设用地供应计划编制规范》( 试行) (2010年9月)</w:t>
            </w: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每年3月31日前，公布年度国有建设用地供应计划</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市自然资源局</w:t>
            </w:r>
          </w:p>
        </w:tc>
        <w:tc>
          <w:tcPr>
            <w:tcW w:w="2912"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■政府网站</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23</w:t>
            </w:r>
          </w:p>
        </w:tc>
        <w:tc>
          <w:tcPr>
            <w:tcW w:w="1106" w:type="dxa"/>
            <w:vAlign w:val="top"/>
          </w:tcPr>
          <w:p>
            <w:pPr>
              <w:pStyle w:val="13"/>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国有土地使用权出让信息</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招标拍卖挂牌出让公告</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《国务院办公厅关于推进公共资源配置领域政府信息公开的意见》(国办发(2017)97号)、《招标拍卖挂牌出让国有建设用地使用权规定》</w:t>
            </w: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至少在投标、拍卖或者挂牌开始日前20日。挂牌时间不得少于10日</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市自然资源局</w:t>
            </w:r>
          </w:p>
        </w:tc>
        <w:tc>
          <w:tcPr>
            <w:tcW w:w="2912"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■政府网站 、中国土地市场网、公共资源交易平台</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24</w:t>
            </w:r>
          </w:p>
        </w:tc>
        <w:tc>
          <w:tcPr>
            <w:tcW w:w="1106" w:type="dxa"/>
            <w:vAlign w:val="top"/>
          </w:tcPr>
          <w:p>
            <w:pPr>
              <w:pStyle w:val="13"/>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国有土地使用权出让信息</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公告调整</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公开国有建设用地使用权出让公告、项目概况、澄清或者修改事项、联系方式。</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《招标拍卖挂牌出让国有土地使用权规范》（国土资发〔2006〕114号）</w:t>
            </w: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按原公告发布渠道及时发布补充公告，涉及土地使用条件变更等影响土地价格的重大变动，补充公告发布时间距招拍挂活动开始时间少于20日的，招拍挂活动相应顺延</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市自然资源局</w:t>
            </w:r>
          </w:p>
        </w:tc>
        <w:tc>
          <w:tcPr>
            <w:tcW w:w="2912" w:type="dxa"/>
            <w:vAlign w:val="center"/>
          </w:tcPr>
          <w:p>
            <w:pPr>
              <w:keepNext w:val="0"/>
              <w:keepLines w:val="0"/>
              <w:widowControl/>
              <w:suppressLineNumbers w:val="0"/>
              <w:jc w:val="both"/>
              <w:textAlignment w:val="center"/>
              <w:rPr>
                <w:rFonts w:cs="Noto Sans Mono CJK JP Bold" w:asciiTheme="minorEastAsia" w:hAnsiTheme="minorEastAsia" w:eastAsiaTheme="minorEastAsia"/>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■政府网站 、中国土地市场网、公共资源交易平台</w:t>
            </w:r>
          </w:p>
        </w:tc>
        <w:tc>
          <w:tcPr>
            <w:tcW w:w="555" w:type="dxa"/>
            <w:vAlign w:val="center"/>
          </w:tcPr>
          <w:p>
            <w:pPr>
              <w:keepNext w:val="0"/>
              <w:keepLines w:val="0"/>
              <w:widowControl/>
              <w:suppressLineNumbers w:val="0"/>
              <w:jc w:val="center"/>
              <w:textAlignment w:val="center"/>
              <w:rPr>
                <w:rFonts w:cs="Noto Sans Mono CJK JP Bold" w:asciiTheme="minorEastAsia" w:hAnsiTheme="minorEastAsia" w:eastAsiaTheme="minorEastAsia"/>
                <w:sz w:val="18"/>
                <w:szCs w:val="18"/>
                <w:lang w:val="en-US" w:eastAsia="zh-CN" w:bidi="ar-SA"/>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25</w:t>
            </w:r>
          </w:p>
        </w:tc>
        <w:tc>
          <w:tcPr>
            <w:tcW w:w="1106" w:type="dxa"/>
            <w:vAlign w:val="top"/>
          </w:tcPr>
          <w:p>
            <w:pPr>
              <w:pStyle w:val="13"/>
              <w:jc w:val="left"/>
              <w:rPr>
                <w:rFonts w:asciiTheme="minorEastAsia" w:hAnsiTheme="minorEastAsia" w:eastAsiaTheme="minorEastAsia"/>
                <w:sz w:val="18"/>
                <w:szCs w:val="18"/>
              </w:rPr>
            </w:pPr>
            <w:r>
              <w:rPr>
                <w:rFonts w:hint="eastAsia" w:asciiTheme="minorEastAsia" w:hAnsiTheme="minorEastAsia" w:eastAsiaTheme="minorEastAsia"/>
                <w:sz w:val="18"/>
                <w:szCs w:val="18"/>
              </w:rPr>
              <w:t>国有土地使用权出让信息</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招标拍卖挂牌出让结果（成交公示）</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土地位置、面积、用途、开发程度、土地级别、容积率、出让年限、供地方式受让人、成交价格和成交时间等。</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《国务院办公厅关于推进公共资源配置领域政府信息公开的意见》(国办发〔2017〕97号)、《招标拍卖挂牌出让国有建设用地使用权规定》《招标拍卖挂牌出让国有土地使用权规范》（国土资发〔2006〕114号）</w:t>
            </w:r>
          </w:p>
        </w:tc>
        <w:tc>
          <w:tcPr>
            <w:tcW w:w="115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招标拍卖挂牌活动结束后的10个工作日内</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市自然资源局</w:t>
            </w:r>
          </w:p>
        </w:tc>
        <w:tc>
          <w:tcPr>
            <w:tcW w:w="2912"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■政府网站 、中国土地市场网、公共资源交易平台</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42" w:type="dxa"/>
            <w:vAlign w:val="center"/>
          </w:tcPr>
          <w:p>
            <w:pPr>
              <w:pStyle w:val="13"/>
              <w:jc w:val="center"/>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26</w:t>
            </w:r>
          </w:p>
        </w:tc>
        <w:tc>
          <w:tcPr>
            <w:tcW w:w="1106" w:type="dxa"/>
            <w:vAlign w:val="top"/>
          </w:tcPr>
          <w:p>
            <w:pPr>
              <w:pStyle w:val="13"/>
              <w:jc w:val="left"/>
              <w:rPr>
                <w:rFonts w:hint="eastAsia" w:asciiTheme="minorEastAsia" w:hAnsiTheme="minorEastAsia" w:eastAsiaTheme="minorEastAsia"/>
                <w:sz w:val="18"/>
                <w:szCs w:val="18"/>
              </w:rPr>
            </w:pPr>
            <w:r>
              <w:rPr>
                <w:rFonts w:hint="eastAsia" w:asciiTheme="minorEastAsia" w:hAnsiTheme="minorEastAsia" w:eastAsiaTheme="minorEastAsia"/>
                <w:sz w:val="18"/>
                <w:szCs w:val="18"/>
              </w:rPr>
              <w:t>国有土地使用权出让信息</w:t>
            </w:r>
          </w:p>
        </w:tc>
        <w:tc>
          <w:tcPr>
            <w:tcW w:w="115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供应结果</w:t>
            </w:r>
          </w:p>
        </w:tc>
        <w:tc>
          <w:tcPr>
            <w:tcW w:w="291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国有建设用地使用权年度供应结果。</w:t>
            </w:r>
          </w:p>
        </w:tc>
        <w:tc>
          <w:tcPr>
            <w:tcW w:w="2595"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《国务院办公厅关于推进公共资源配置领域政府信息公开的意见》</w:t>
            </w:r>
          </w:p>
        </w:tc>
        <w:tc>
          <w:tcPr>
            <w:tcW w:w="1150"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及时公开</w:t>
            </w:r>
          </w:p>
        </w:tc>
        <w:tc>
          <w:tcPr>
            <w:tcW w:w="1730"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自然资源管理部门</w:t>
            </w:r>
          </w:p>
        </w:tc>
        <w:tc>
          <w:tcPr>
            <w:tcW w:w="2912" w:type="dxa"/>
            <w:vAlign w:val="center"/>
          </w:tcPr>
          <w:p>
            <w:pPr>
              <w:keepNext w:val="0"/>
              <w:keepLines w:val="0"/>
              <w:widowControl/>
              <w:suppressLineNumbers w:val="0"/>
              <w:jc w:val="both"/>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■政府网站</w:t>
            </w:r>
          </w:p>
        </w:tc>
        <w:tc>
          <w:tcPr>
            <w:tcW w:w="555"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512" w:type="dxa"/>
            <w:vAlign w:val="center"/>
          </w:tcPr>
          <w:p>
            <w:pPr>
              <w:jc w:val="both"/>
              <w:rPr>
                <w:rFonts w:asciiTheme="minorEastAsia" w:hAnsiTheme="minorEastAsia" w:eastAsiaTheme="minorEastAsia"/>
                <w:sz w:val="18"/>
                <w:szCs w:val="18"/>
              </w:rPr>
            </w:pPr>
          </w:p>
        </w:tc>
        <w:tc>
          <w:tcPr>
            <w:tcW w:w="392" w:type="dxa"/>
            <w:vAlign w:val="center"/>
          </w:tcPr>
          <w:p>
            <w:pPr>
              <w:keepNext w:val="0"/>
              <w:keepLines w:val="0"/>
              <w:widowControl/>
              <w:suppressLineNumbers w:val="0"/>
              <w:jc w:val="center"/>
              <w:textAlignment w:val="center"/>
              <w:rPr>
                <w:rFonts w:asciiTheme="minorEastAsia" w:hAnsiTheme="minorEastAsia" w:eastAsiaTheme="minorEastAsia"/>
                <w:sz w:val="18"/>
                <w:szCs w:val="18"/>
              </w:rPr>
            </w:pPr>
            <w:r>
              <w:rPr>
                <w:rFonts w:hint="default" w:ascii="仿宋_GB2312" w:hAnsi="宋体" w:eastAsia="仿宋_GB2312" w:cs="仿宋_GB2312"/>
                <w:i w:val="0"/>
                <w:iCs w:val="0"/>
                <w:color w:val="000000"/>
                <w:kern w:val="0"/>
                <w:sz w:val="18"/>
                <w:szCs w:val="18"/>
                <w:u w:val="none"/>
                <w:lang w:val="en-US" w:eastAsia="zh-CN" w:bidi="ar"/>
              </w:rPr>
              <w:t>√</w:t>
            </w:r>
          </w:p>
        </w:tc>
        <w:tc>
          <w:tcPr>
            <w:tcW w:w="361" w:type="dxa"/>
          </w:tcPr>
          <w:p>
            <w:pPr>
              <w:pStyle w:val="13"/>
              <w:jc w:val="center"/>
              <w:rPr>
                <w:rFonts w:asciiTheme="minorEastAsia" w:hAnsiTheme="minorEastAsia" w:eastAsiaTheme="minorEastAsia"/>
                <w:sz w:val="18"/>
                <w:szCs w:val="18"/>
              </w:rPr>
            </w:pPr>
          </w:p>
        </w:tc>
      </w:tr>
    </w:tbl>
    <w:p>
      <w:bookmarkStart w:id="0" w:name="_GoBack"/>
      <w:bookmarkEnd w:id="0"/>
    </w:p>
    <w:sectPr>
      <w:footerReference r:id="rId3" w:type="default"/>
      <w:pgSz w:w="16840" w:h="11910" w:orient="landscape"/>
      <w:pgMar w:top="1100" w:right="580" w:bottom="993" w:left="620" w:header="0" w:footer="52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oto Sans Mono CJK JP Bold">
    <w:altName w:val="Arial"/>
    <w:panose1 w:val="00000000000000000000"/>
    <w:charset w:val="00"/>
    <w:family w:val="swiss"/>
    <w:pitch w:val="default"/>
    <w:sig w:usb0="00000000" w:usb1="00000000" w:usb2="00000000" w:usb3="00000000" w:csb0="00000000" w:csb1="00000000"/>
  </w:font>
  <w:font w:name="Noto Sans CJK JP Medium">
    <w:altName w:val="Arial"/>
    <w:panose1 w:val="00000000000000000000"/>
    <w:charset w:val="00"/>
    <w:family w:val="swiss"/>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246395"/>
      <w:docPartObj>
        <w:docPartGallery w:val="AutoText"/>
      </w:docPartObj>
    </w:sdtPr>
    <w:sdtContent>
      <w:p>
        <w:pPr>
          <w:pStyle w:val="4"/>
          <w:jc w:val="center"/>
        </w:pPr>
        <w:r>
          <w:fldChar w:fldCharType="begin"/>
        </w:r>
        <w:r>
          <w:instrText xml:space="preserve">PAGE   \* MERGEFORMAT</w:instrText>
        </w:r>
        <w:r>
          <w:fldChar w:fldCharType="separate"/>
        </w:r>
        <w:r>
          <w:rPr>
            <w:lang w:val="zh-CN"/>
          </w:rPr>
          <w:t>4</w:t>
        </w:r>
        <w:r>
          <w:fldChar w:fldCharType="end"/>
        </w:r>
      </w:p>
    </w:sdtContent>
  </w:sdt>
  <w:p>
    <w:pPr>
      <w:pStyle w:val="2"/>
      <w:spacing w:line="14" w:lineRule="auto"/>
      <w:rPr>
        <w:sz w:val="1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rsids>
    <w:rsidRoot w:val="00BA5F9E"/>
    <w:rsid w:val="00063531"/>
    <w:rsid w:val="000A5344"/>
    <w:rsid w:val="000B1031"/>
    <w:rsid w:val="000E7338"/>
    <w:rsid w:val="001373A0"/>
    <w:rsid w:val="00183008"/>
    <w:rsid w:val="001A5FCB"/>
    <w:rsid w:val="001B6F32"/>
    <w:rsid w:val="00217FD9"/>
    <w:rsid w:val="002635C8"/>
    <w:rsid w:val="003324FC"/>
    <w:rsid w:val="00385D0A"/>
    <w:rsid w:val="003E7B03"/>
    <w:rsid w:val="004957FD"/>
    <w:rsid w:val="004973EA"/>
    <w:rsid w:val="004F7044"/>
    <w:rsid w:val="00534056"/>
    <w:rsid w:val="00534D0A"/>
    <w:rsid w:val="00573A16"/>
    <w:rsid w:val="00644C08"/>
    <w:rsid w:val="006525A6"/>
    <w:rsid w:val="006964E8"/>
    <w:rsid w:val="0071315C"/>
    <w:rsid w:val="007206CD"/>
    <w:rsid w:val="00827F95"/>
    <w:rsid w:val="00954E25"/>
    <w:rsid w:val="00955390"/>
    <w:rsid w:val="009561B2"/>
    <w:rsid w:val="00A03844"/>
    <w:rsid w:val="00A55A36"/>
    <w:rsid w:val="00A96DA1"/>
    <w:rsid w:val="00AB015F"/>
    <w:rsid w:val="00AB3728"/>
    <w:rsid w:val="00B17D2C"/>
    <w:rsid w:val="00B91BA1"/>
    <w:rsid w:val="00BA333B"/>
    <w:rsid w:val="00BA5F9E"/>
    <w:rsid w:val="00D32C8C"/>
    <w:rsid w:val="00D5583D"/>
    <w:rsid w:val="00DA6355"/>
    <w:rsid w:val="00DD3B35"/>
    <w:rsid w:val="00E05C74"/>
    <w:rsid w:val="00E27777"/>
    <w:rsid w:val="00F27ED5"/>
    <w:rsid w:val="00F46EE4"/>
    <w:rsid w:val="00FB52CF"/>
    <w:rsid w:val="6854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qFormat/>
    <w:uiPriority w:val="1"/>
    <w:pPr>
      <w:spacing w:line="582" w:lineRule="exact"/>
      <w:ind w:left="4577"/>
    </w:pPr>
    <w:rPr>
      <w:rFonts w:ascii="Noto Sans CJK JP Medium" w:hAnsi="Noto Sans CJK JP Medium" w:eastAsia="Noto Sans CJK JP Medium" w:cs="Noto Sans CJK JP Medium"/>
      <w:sz w:val="32"/>
      <w:szCs w:val="32"/>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paragraph" w:styleId="13">
    <w:name w:val="No Spacing"/>
    <w:qFormat/>
    <w:uiPriority w:val="1"/>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character" w:customStyle="1" w:styleId="14">
    <w:name w:val="页眉 Char"/>
    <w:basedOn w:val="9"/>
    <w:link w:val="5"/>
    <w:qFormat/>
    <w:uiPriority w:val="99"/>
    <w:rPr>
      <w:rFonts w:ascii="Noto Sans Mono CJK JP Bold" w:hAnsi="Noto Sans Mono CJK JP Bold" w:eastAsia="Noto Sans Mono CJK JP Bold" w:cs="Noto Sans Mono CJK JP Bold"/>
      <w:sz w:val="18"/>
      <w:szCs w:val="18"/>
      <w:lang w:eastAsia="zh-CN"/>
    </w:rPr>
  </w:style>
  <w:style w:type="character" w:customStyle="1" w:styleId="15">
    <w:name w:val="页脚 Char"/>
    <w:basedOn w:val="9"/>
    <w:link w:val="4"/>
    <w:qFormat/>
    <w:uiPriority w:val="99"/>
    <w:rPr>
      <w:rFonts w:ascii="Noto Sans Mono CJK JP Bold" w:hAnsi="Noto Sans Mono CJK JP Bold" w:eastAsia="Noto Sans Mono CJK JP Bold" w:cs="Noto Sans Mono CJK JP Bold"/>
      <w:sz w:val="18"/>
      <w:szCs w:val="18"/>
      <w:lang w:eastAsia="zh-CN"/>
    </w:rPr>
  </w:style>
  <w:style w:type="character" w:customStyle="1" w:styleId="16">
    <w:name w:val="批注框文本 Char"/>
    <w:basedOn w:val="9"/>
    <w:link w:val="3"/>
    <w:semiHidden/>
    <w:qFormat/>
    <w:uiPriority w:val="99"/>
    <w:rPr>
      <w:rFonts w:ascii="Noto Sans Mono CJK JP Bold" w:hAnsi="Noto Sans Mono CJK JP Bold" w:eastAsia="Noto Sans Mono CJK JP Bold" w:cs="Noto Sans Mono CJK JP Bold"/>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969</Words>
  <Characters>5528</Characters>
  <Lines>46</Lines>
  <Paragraphs>12</Paragraphs>
  <TotalTime>1</TotalTime>
  <ScaleCrop>false</ScaleCrop>
  <LinksUpToDate>false</LinksUpToDate>
  <CharactersWithSpaces>6485</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2020-11-03T00:51:00Z</dcterms:created>
  <dc:creator>LUOXU</dc:creator>
  <cp:lastModifiedBy>admin</cp:lastModifiedBy>
  <cp:lastPrinted>2020-11-03T01:04:00Z</cp:lastPrinted>
  <dcterms:modified xsi:type="dcterms:W3CDTF">2021-10-25T07:43:24Z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LastSaved">
    <vt:filetime>2020-10-31T00:00:00Z</vt:filetime>
  </property>
  <property fmtid="{D5CDD505-2E9C-101B-9397-08002B2CF9AE}" pid="4" name="KSOProductBuildVer">
    <vt:lpwstr>2052-11.1.0.10938</vt:lpwstr>
  </property>
  <property fmtid="{D5CDD505-2E9C-101B-9397-08002B2CF9AE}" pid="5" name="ICV">
    <vt:lpwstr>3E0C5BEE933148F09A2BAF4432D33170</vt:lpwstr>
  </property>
</Properties>
</file>